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F0CC2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4" w:name="_GoBack"/>
      <w:bookmarkEnd w:id="4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项目1：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Hans" w:bidi="ar"/>
        </w:rPr>
        <w:t>便携式盆底治疗仪采购需求参数</w:t>
      </w:r>
    </w:p>
    <w:p w14:paraId="3AA30407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产品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基本信息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 xml:space="preserve">： </w:t>
      </w:r>
    </w:p>
    <w:p w14:paraId="29245B83">
      <w:pPr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产品注册为生物反馈治疗设备（II类），符合行业标准YY 0607-2007及YY/T 1095-2015的要求。</w:t>
      </w:r>
    </w:p>
    <w:p w14:paraId="02C3E6C1">
      <w:pPr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注册证的适用范围为：对患者表面肌电信号进行采集、分析和生物反馈训练，通过电刺激和肌电触发电刺激进行肌肉功能障碍的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辅助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治疗。</w:t>
      </w:r>
    </w:p>
    <w:p w14:paraId="5185945B">
      <w:pPr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设备配置同厂注册的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一次性使用盆底功能训练探头、盆底功能训练探头，以及兼容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理疗电极片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可保证产品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稳定性。</w:t>
      </w:r>
    </w:p>
    <w:p w14:paraId="33B6BB56">
      <w:pPr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具备专用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探头真伪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识别功能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。</w:t>
      </w:r>
    </w:p>
    <w:p w14:paraId="46B2E13B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产品主要技术参数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 xml:space="preserve">： </w:t>
      </w:r>
    </w:p>
    <w:p w14:paraId="62E43319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主机：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集成一体式便携主机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肌电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采集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模块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、电刺激模块、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主控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及显示单元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集成在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同一机箱内），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更能保障产品的稳定性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且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抗电磁干扰性能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更好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。</w:t>
      </w:r>
    </w:p>
    <w:p w14:paraId="05A63D45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主机重量不超过3KG，更轻便易转移使用，多场景应用。</w:t>
      </w:r>
    </w:p>
    <w:p w14:paraId="16616D39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*屏幕尺寸≥11.6英寸，高清液晶触摸屏，操作方便，可进行无线投屏来拓展显示。</w:t>
      </w:r>
    </w:p>
    <w:p w14:paraId="629A4531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*可通过RJ45，Wifi等方式联网和共享数据，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支持搭建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数据管理中心。</w:t>
      </w:r>
    </w:p>
    <w:p w14:paraId="64966FB7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4个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电刺激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/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肌电采集独立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通道，可采集信号，可输出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刺激。</w:t>
      </w:r>
    </w:p>
    <w:p w14:paraId="157BF49E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屏幕上有刺激输出指示及电极脱落指示，机器上有刺激输出指示灯，电极脱落会自动暂停刺激输出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。</w:t>
      </w:r>
    </w:p>
    <w:p w14:paraId="1ECC0F5A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*采用电极阻抗检测技术，实现刺激电极脱落的实时智能判别，避免了电极脱落时产生的过压脉冲，更有效地提高了产品的安全性，并能提供证明文件。</w:t>
      </w:r>
    </w:p>
    <w:p w14:paraId="1751A252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A/D采样率：≥8100Hz。</w:t>
      </w:r>
    </w:p>
    <w:p w14:paraId="00084568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采样位数：≥16位。</w:t>
      </w:r>
    </w:p>
    <w:p w14:paraId="6CE6DA32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肌电通频带：≥20Hz～500Hz (-3dB)。</w:t>
      </w:r>
    </w:p>
    <w:p w14:paraId="77EAFB8E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肌电测量范围：0~2000uVp。</w:t>
      </w:r>
    </w:p>
    <w:p w14:paraId="1CC576AA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 xml:space="preserve">刺激电流强度：0-100mA范围内可调。 </w:t>
      </w:r>
    </w:p>
    <w:p w14:paraId="6C108A70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*电刺激脉冲宽度：至少在20-1000μs范围内可调。</w:t>
      </w:r>
    </w:p>
    <w:p w14:paraId="580275E0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电刺激脉冲频率：至少在1-250Hz范围内可调。</w:t>
      </w:r>
    </w:p>
    <w:p w14:paraId="651F783E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 xml:space="preserve">差模输入阻抗≥10MΩ。 </w:t>
      </w:r>
    </w:p>
    <w:p w14:paraId="11B559D8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 xml:space="preserve">共模抑制比≥100dB。 </w:t>
      </w:r>
    </w:p>
    <w:p w14:paraId="1638F0A0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*治疗仪可输出单面波、双面波和交互波，并可输出多种组合治疗用波形。</w:t>
      </w:r>
    </w:p>
    <w:p w14:paraId="77E7F635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数据和端口：支持有线以太网、无线通讯、蓝牙通讯等。</w:t>
      </w:r>
    </w:p>
    <w:p w14:paraId="1598FEEA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盆底治疗探头具有独立注册证（同厂家）和国家相关专利证书；</w:t>
      </w:r>
    </w:p>
    <w:p w14:paraId="5A4E8407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一次性评估探头具有独立注册证（同厂家）和国家相关专利证书；</w:t>
      </w:r>
    </w:p>
    <w:p w14:paraId="0A2F2D3A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理疗电极片有同厂家备案凭证，并且报名产品可以适用多厂家理疗电极片；</w:t>
      </w:r>
    </w:p>
    <w:p w14:paraId="160C1563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" w:bidi="ar-SA"/>
        </w:rPr>
        <w:t>产品使用年限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≥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" w:bidi="ar-SA"/>
        </w:rPr>
        <w:t>10年（提供相关佐证）</w:t>
      </w:r>
    </w:p>
    <w:p w14:paraId="216BF04F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产品保修期≥3年。</w:t>
      </w:r>
    </w:p>
    <w:p w14:paraId="305C2421">
      <w:pPr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保修期内，报修后2小时内响应，24小时内上门。</w:t>
      </w:r>
    </w:p>
    <w:p w14:paraId="39FFF5E1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产品软件功能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：</w:t>
      </w:r>
    </w:p>
    <w:p w14:paraId="4F3FE317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系统内置新手教程视频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方便治疗师随时了解设备操作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2DD0188E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设备自带扫码功能（避免外接扫码设备接触不良），支持快速录入患者信息。</w:t>
      </w:r>
    </w:p>
    <w:p w14:paraId="75C15B6F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系统支持盆底评估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盆底治疗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产后康复功能模块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7EEDFDD5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多种评估模式，内置快速评估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标准评估多种种评估方式，支持腰背痛评估、尿失禁（咳嗽）评估、性功能评估。</w:t>
      </w:r>
    </w:p>
    <w:p w14:paraId="5FBC195F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标准评估对盆底肌肉进行全面且标准化的评估，耗时约6分多钟。评估指标包括：前静息平均值，前静息变异性，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快肌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上升时间，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快肌收缩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最大值，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快肌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下降时间，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综合肌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平均值，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综合肌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变异性，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慢肌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平均值、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慢肌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变异性、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后静息平均值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后静息变异性。</w:t>
      </w:r>
    </w:p>
    <w:p w14:paraId="5274B61D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评估前可进行热身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进入不同评估阶段前有语音引导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以提高评估效果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评估语音引导功能可开启与关闭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68843C8F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支持自动腹部肌电阈值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，也可在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评估和治疗中途对腹部肌电阈值进行手动调整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，具备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腹部肌电过高智能提示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246A82B8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评估结束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系统自动生成评估报告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，并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根据患者实际情况智能推送治疗处方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514A61F3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评估结束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系统自动对患者的肌力情况进行打分或评级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可计算腹部参与度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3A49D96D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评估报告模板支持自定义配置和编辑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包括盆底肌电图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腹部肌电图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POP-Q、病症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诊断与建议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注释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电子签名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5D05AB72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支持组合式治疗课程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同一个治疗课程可选择多个治疗模式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且治疗过程中无需干预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5D928CC6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治疗前支持预设电刺激参数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包括刺激强度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频率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脉宽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刺激波形等参数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并自动提示前次使用的刺激强度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27B09360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系统内置数十个治疗课程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支持自定义治疗处方，治疗时长可调整，最大支持设置120分钟；支持自定义课程，提高临床使用灵活性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0422D4CB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肌电触发电刺激支持自动阈值计算和手动调节阈值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，满足不同患者阶段性治疗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7D71856C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支持多种治疗模式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包括神经肌肉电刺激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肌电触发电刺激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肌电反馈训练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场景训练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多媒体训练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2A4D4794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支持双人产后康复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可分别独立进行操作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且产后康复带有电极贴图指引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7551D036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评估记录和治疗记录支持回顾查看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，支持治疗前后评估数据对比，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随时关注患者的治疗情况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7D1067B1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支持通过网络进行预约和预约管理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预约成功发送通知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方便患者复诊；支持本地离线预约，支持预约设置，包括预约周期、工作时段、最大预约人数、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开放天数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等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70E6E03D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内置多种问卷量表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多方位了解患者情况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。</w:t>
      </w:r>
    </w:p>
    <w:p w14:paraId="60820AEB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患者数据支持多个设备间的自动共享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实现跨地域数据管理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654FB6AE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可结合康复管理云平台使用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并进行数据同步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实现患者数据管理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患者预约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医院信息管理等功能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334B658B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信息管理功能，支持对数据进行查看、修改、查找、打印等操作，可进行工作量统计，便于后期数据分析。</w:t>
      </w:r>
    </w:p>
    <w:p w14:paraId="6870E323">
      <w:pPr>
        <w:pageBreakBefore w:val="0"/>
        <w:widowControl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支持软件及固件升级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软件支持在线远程升级</w:t>
      </w:r>
      <w: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5E3B5061">
      <w:pPr>
        <w:spacing w:line="360" w:lineRule="auto"/>
        <w:jc w:val="left"/>
        <w:rPr>
          <w:rFonts w:hint="eastAsia"/>
          <w:color w:val="000000"/>
          <w:highlight w:val="none"/>
        </w:rPr>
      </w:pPr>
    </w:p>
    <w:p w14:paraId="6E15F681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Hans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项目2：盆底治疗仪采购需求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Hans" w:bidi="ar"/>
        </w:rPr>
        <w:t>参数</w:t>
      </w:r>
    </w:p>
    <w:p w14:paraId="55DA2A16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生物反馈治疗仪，采用生物反馈结合电刺激治疗原理，对患者盆底肌进行表面肌电信号采集、分析，并根据评估结果对患者选择适合的治疗方案，对神经肌肉等进行恢复和治疗，有效治疗各种尿失禁、盆腔器官脱垂、性功能障碍、慢性盆腔痛等盆底功能障碍性疾病，以及产后子宫复旧、腹直肌分离、乳腺疏通等患者进行产后康复治疗。</w:t>
      </w:r>
    </w:p>
    <w:p w14:paraId="196DE720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产品特点：</w:t>
      </w:r>
    </w:p>
    <w:p w14:paraId="0C3068BD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评估和治疗共有4个通道：4个肌电通道，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可供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2人多部位进行反馈治疗，多模式、联动治疗。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根据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医生需要进行选择。</w:t>
      </w:r>
    </w:p>
    <w:p w14:paraId="15DE4AAD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多种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评估方式：肌电评估，包括有标准肌电评估、2分半钟肌电筛查评估、肌电快速筛查评估；支持腰背痛评估、尿失禁（咳嗽）评估、性功能评估。评估过程中均有真人语音提示。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支持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可打印报告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。</w:t>
      </w:r>
    </w:p>
    <w:p w14:paraId="5FDB50E9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所有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报告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内容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可依据医院秘需要自定义编辑细节。</w:t>
      </w:r>
    </w:p>
    <w:p w14:paraId="1B8FAE1F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筛查报告包括评估指标数值、参考值、肌电图、报告解读说明和治疗建议。系统自动对筛查的每个阶段进行打分。</w:t>
      </w:r>
    </w:p>
    <w:p w14:paraId="5965E0B9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腹肌参与报警功能：对盆底肌肉进行评估和治疗时，获取腹部肌电值，动作不规范时腹部肌电超限报警，并有评估报告中腹部参与度情况。</w:t>
      </w:r>
    </w:p>
    <w:p w14:paraId="1FC854D2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*电刺激治疗波形分为三种：单向波、双向波和交互波。</w:t>
      </w:r>
    </w:p>
    <w:p w14:paraId="06556E03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系统内置6个大治疗方向，治疗方案不少于200多种治疗方案，包括神经肌肉电刺激、肌电触发电刺激、肌电反馈训练、场景训练，产后康复，多媒体训练等。</w:t>
      </w:r>
    </w:p>
    <w:p w14:paraId="20255F1C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评估和治疗方案有视频操作指引，可以根据需要进行开启或关闭。</w:t>
      </w:r>
    </w:p>
    <w:p w14:paraId="406562C3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智能推送评估方案。评估过程中均有真人语音提示。采用肌电评估方式，肌电评估有标准肌电评估低于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6分钟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、简易肌电评估不低于2分20秒。</w:t>
      </w:r>
    </w:p>
    <w:p w14:paraId="425B0048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持自定义单个治疗课程，电刺激课程中可自定义各项输出参数如波形、频率脉宽等；生物反馈课程，可手动绘制任意生物反馈图形，实现个体化课程定制；多种刺激模式方案组合，设置后不需要退出可一次完成治疗。</w:t>
      </w:r>
    </w:p>
    <w:p w14:paraId="7AA0B171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多种阈值设置组合方式，智能、手动触发功能。</w:t>
      </w:r>
    </w:p>
    <w:p w14:paraId="49FC45E4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*MVC模式，更合理进行力量训练。</w:t>
      </w:r>
    </w:p>
    <w:p w14:paraId="7ADE9562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可配置医院常用课程列表，方便快速选择治疗</w:t>
      </w:r>
    </w:p>
    <w:p w14:paraId="60566FBE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多媒体训练有多种训练模型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，可满足多种训练需求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218BDC2C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*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数据可以通过网络或云组建盆底中心共享数据，提高协作效率。</w:t>
      </w:r>
    </w:p>
    <w:p w14:paraId="24C379E7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内置应急电源，意外断电后系统自动暂停治疗，保存病人正在进行的治疗信息，并报警声音提示。</w:t>
      </w:r>
    </w:p>
    <w:p w14:paraId="2A7075E1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电极脱落保护：在进行电刺激治疗的过程中，电极脱落时，刺激自动停止，避免电流对人体皮肤造成意外伤害。电极诊断功能：具有电极自动检测系统提示功能，诊断电极连接是否正常。</w:t>
      </w:r>
    </w:p>
    <w:p w14:paraId="2B5110B4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可在诊疗记录中预览评估报告，回放评估过程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。支持进行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多组已做过的治疗数据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整理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，形成趋势对比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。</w:t>
      </w:r>
    </w:p>
    <w:p w14:paraId="7FDCED1F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治疗界面显示信息：表面肌电波形及数据、定量分析值、电刺激阈值、最大值、最小值、平均值、电流刺激波形。</w:t>
      </w:r>
    </w:p>
    <w:p w14:paraId="0E04379A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 xml:space="preserve">治疗过的方案会从课程列表中改变颜色并不可选，并将治疗的情况记录在病历中，方便查看对比患者的治疗情况。 </w:t>
      </w:r>
    </w:p>
    <w:p w14:paraId="5F634E84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一体化可移动台车整体设计（避免子机与主机连接不良），台车上有专用移动把手，治疗系统可以轻松在门诊、病区和康复训练区移动。</w:t>
      </w:r>
    </w:p>
    <w:p w14:paraId="7245BF7D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*高清晰液晶显示屏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，≥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23.6英寸，可上下左右前后调整，并可360度旋转，同时方便医生操作和病人进行生物反馈治疗。白天黑夜模式，更加关注患者的眼睛，降低疲劳度。</w:t>
      </w:r>
    </w:p>
    <w:p w14:paraId="44439264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配置专业的催乳电极片和镇痛电极片，可做催乳、小叶增生、术后镇痛、产后尿潴留、形体恢复等。</w:t>
      </w:r>
    </w:p>
    <w:p w14:paraId="2E92192F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*强大的预约功能，为医院和患者更好的管理时间，减少等待时间，提高治疗效率。</w:t>
      </w:r>
    </w:p>
    <w:p w14:paraId="2E2D42B1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*探头9针接口，稳固链接。</w:t>
      </w:r>
    </w:p>
    <w:p w14:paraId="3B6DA382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盆底治疗探头具有独立注册证（同厂家）和国家相关专利证书；</w:t>
      </w:r>
    </w:p>
    <w:p w14:paraId="5B6CFE3D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一次性评估探头具有独立注册证（同厂家）和国家相关专利证书；</w:t>
      </w:r>
    </w:p>
    <w:p w14:paraId="0CB60E70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理疗电极片有同厂家备案凭证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，并且报名产品可以适用多厂家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理疗电极片；</w:t>
      </w:r>
    </w:p>
    <w:p w14:paraId="1FF7E6CC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使用Win10系统，更安全可靠。支持一键开机和关机。</w:t>
      </w:r>
    </w:p>
    <w:p w14:paraId="1194CC61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可配合同厂家的手持家用康复治疗仪，进行医院+居家治疗</w:t>
      </w:r>
    </w:p>
    <w:p w14:paraId="158A46CA">
      <w:pPr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支持数据共享，并支持通过网络或云组建盆底中心共享数据库，进行管理患者、查看统计数据，提高科室协作效率；支持联动盆底居家小设备，通过院端推送课程、编辑课程、查看数据，实现院端远程管理患者，提高医患粘合度。</w:t>
      </w:r>
    </w:p>
    <w:p w14:paraId="714BE777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技术参数：</w:t>
      </w:r>
    </w:p>
    <w:p w14:paraId="51232858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4个独立生物反馈和刺激通道。</w:t>
      </w:r>
    </w:p>
    <w:p w14:paraId="34994DD1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EMG采集位数: 16位。</w:t>
      </w:r>
    </w:p>
    <w:p w14:paraId="125E5ABA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EMG每个通道单独采集肌电信号，采样频率高,不低于2500Hz。</w:t>
      </w:r>
    </w:p>
    <w:p w14:paraId="4F3F7228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评估和治疗总共有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四个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通道：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肌电信号采集通道4个，电刺激输出通道8个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7E7173EF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EMG采集灵敏度：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0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-2000μV。</w:t>
      </w:r>
    </w:p>
    <w:p w14:paraId="6D0B4F90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通频带通：2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0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~500Hz。</w:t>
      </w:r>
    </w:p>
    <w:p w14:paraId="23E00B33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电刺激输出电流强度可调范围：0-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10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0mA，步长0.5mA。</w:t>
      </w:r>
    </w:p>
    <w:p w14:paraId="61BE5858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电刺激输出电流频率可调范围：1-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1000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Hz，步长1Hz。</w:t>
      </w:r>
    </w:p>
    <w:p w14:paraId="5D41FAF5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电刺激输出电流脉宽可调范围：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20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-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10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00μs，步长50μs。</w:t>
      </w:r>
    </w:p>
    <w:p w14:paraId="2F44E468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电刺激持续治疗时间可调范围：2-60s，步长1s。</w:t>
      </w:r>
    </w:p>
    <w:p w14:paraId="525D8997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休息时间可调范围：2-120s，步长1s。</w:t>
      </w:r>
    </w:p>
    <w:p w14:paraId="6820B210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电刺激波形上升和下降时间可调范围：0-9.9s，步长0.1s。</w:t>
      </w:r>
    </w:p>
    <w:p w14:paraId="19176D5A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" w:bidi="ar-SA"/>
        </w:rPr>
        <w:t>产品使用年限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≥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" w:bidi="ar-SA"/>
        </w:rPr>
        <w:t>10年（提供相关佐证）</w:t>
      </w:r>
    </w:p>
    <w:p w14:paraId="5C55B59B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产品保修期≥3年。</w:t>
      </w:r>
    </w:p>
    <w:p w14:paraId="31FA55CC">
      <w:pPr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保修期内，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报修后2小时内响应，24小时内上门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。</w:t>
      </w:r>
    </w:p>
    <w:p w14:paraId="50D0E5E6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项目3：磁刺激仪采购需求参数</w:t>
      </w:r>
    </w:p>
    <w:p w14:paraId="0794ABAA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一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产品名称：磁刺激仪</w:t>
      </w:r>
    </w:p>
    <w:p w14:paraId="5C642094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▲适应症：用于人体中枢神经和外周神经刺激，用于神经电生理检查。配合药物，用于心境低落、焦虑、失眠及性症状的辅助治疗。（提供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注册证适用范围证明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）</w:t>
      </w:r>
    </w:p>
    <w:p w14:paraId="15B144FD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三、使用有效期、保修期和维修服务</w:t>
      </w:r>
    </w:p>
    <w:p w14:paraId="7EB9B86A">
      <w:pPr>
        <w:pageBreakBefore w:val="0"/>
        <w:widowControl w:val="0"/>
        <w:numPr>
          <w:ilvl w:val="0"/>
          <w:numId w:val="6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" w:bidi="ar-SA"/>
        </w:rPr>
        <w:t>产品使用年限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≥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" w:bidi="ar-SA"/>
        </w:rPr>
        <w:t>10年（提供相关佐证）</w:t>
      </w:r>
    </w:p>
    <w:p w14:paraId="2143A7FF">
      <w:pPr>
        <w:pageBreakBefore w:val="0"/>
        <w:widowControl w:val="0"/>
        <w:numPr>
          <w:ilvl w:val="0"/>
          <w:numId w:val="6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产品保修期≥3年。</w:t>
      </w:r>
    </w:p>
    <w:p w14:paraId="0050C51F">
      <w:pPr>
        <w:pageBreakBefore w:val="0"/>
        <w:widowControl w:val="0"/>
        <w:numPr>
          <w:ilvl w:val="0"/>
          <w:numId w:val="6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保修期内，报修后2小时内响应，24小时内上门。</w:t>
      </w:r>
    </w:p>
    <w:p w14:paraId="07A681D5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四、技术参数</w:t>
      </w:r>
    </w:p>
    <w:p w14:paraId="4791581C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（一）硬件</w:t>
      </w:r>
    </w:p>
    <w:p w14:paraId="5E8F05AC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整机通过YY/T0994-2015磁刺激设备行业标准；</w:t>
      </w:r>
    </w:p>
    <w:p w14:paraId="2AAD54BC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整机通过电磁兼容性EMC测试；</w:t>
      </w:r>
    </w:p>
    <w:p w14:paraId="6AD0BE22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★冷却系统：风冷冷却技术，安全、无漏液风险、无需耗材和后期维护。非半导体风冷或循环液冷（提供检测报告）</w:t>
      </w:r>
    </w:p>
    <w:p w14:paraId="5527038D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主机不含液体；</w:t>
      </w:r>
    </w:p>
    <w:p w14:paraId="60B32B88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▲标配圆形线圈和方形线圈（提供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实物图片证明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）；</w:t>
      </w:r>
    </w:p>
    <w:p w14:paraId="7CBE2D13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▲标配运动诱发电位监测模块：双通道，均可测量阈值，也可用于在治疗中进行电生理安全监测。</w:t>
      </w:r>
    </w:p>
    <w:p w14:paraId="01C63232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无线通讯，减少束缚，便于临床操作；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（提供实物图片证明）</w:t>
      </w:r>
    </w:p>
    <w:p w14:paraId="58F045CB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★标配触控式一体机，操作简单， 一体机与工作站紧密固定，非笔记本直接放置在台面上，无跌落风险 ；（提供产品注册外观）</w:t>
      </w:r>
    </w:p>
    <w:p w14:paraId="14A54C49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一体机通过CE电磁兼容性(EMC)认证，更安全；</w:t>
      </w:r>
    </w:p>
    <w:p w14:paraId="0CFA9CD2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★标配外置稳压电源，满足设备在复杂电压环境下的安全使用需求；（提供产品注册外观）</w:t>
      </w:r>
    </w:p>
    <w:p w14:paraId="3AAB9A77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开放式设计平台，具备触发输入输出通用接口，可兼容肌电图等设备；</w:t>
      </w:r>
    </w:p>
    <w:p w14:paraId="4F8708A2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设备生产厂家需取得专业认证机构认证的ISO13485 和 ISO9001 质量体系认证。</w:t>
      </w:r>
    </w:p>
    <w:p w14:paraId="55C808BF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配备专用座椅，可根据临床治疗需求放平座椅。</w:t>
      </w:r>
    </w:p>
    <w:p w14:paraId="09C42771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（二）主机技术指标</w:t>
      </w:r>
    </w:p>
    <w:p w14:paraId="2977153F">
      <w:pPr>
        <w:pageBreakBefore w:val="0"/>
        <w:widowControl w:val="0"/>
        <w:numPr>
          <w:ilvl w:val="0"/>
          <w:numId w:val="8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最大磁感应强度；6T;</w:t>
      </w:r>
    </w:p>
    <w:p w14:paraId="006C6936">
      <w:pPr>
        <w:pageBreakBefore w:val="0"/>
        <w:widowControl w:val="0"/>
        <w:numPr>
          <w:ilvl w:val="0"/>
          <w:numId w:val="8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▲输出脉冲重复频率：0.01Hz～60Hz 可调，允差±5%;1 Hz 以下步长0.01Hz,1Hz 以上步长1Hz;（提供检验报告）</w:t>
      </w:r>
    </w:p>
    <w:p w14:paraId="1F66ABDD">
      <w:pPr>
        <w:pageBreakBefore w:val="0"/>
        <w:widowControl w:val="0"/>
        <w:numPr>
          <w:ilvl w:val="0"/>
          <w:numId w:val="8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脉冲上升时间：50 μs ±10μs;</w:t>
      </w:r>
    </w:p>
    <w:p w14:paraId="4B9DF149">
      <w:pPr>
        <w:pageBreakBefore w:val="0"/>
        <w:widowControl w:val="0"/>
        <w:numPr>
          <w:ilvl w:val="0"/>
          <w:numId w:val="8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脉冲持续时间：340μs   ±20μs;</w:t>
      </w:r>
    </w:p>
    <w:p w14:paraId="7B71A2EA">
      <w:pPr>
        <w:pageBreakBefore w:val="0"/>
        <w:widowControl w:val="0"/>
        <w:numPr>
          <w:ilvl w:val="0"/>
          <w:numId w:val="8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磁感应强度最大变化率范围：40kT/s～80kT/s。</w:t>
      </w:r>
    </w:p>
    <w:p w14:paraId="608FF7B7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（三）运动诱发电位监测模块技术指标</w:t>
      </w:r>
    </w:p>
    <w:p w14:paraId="41C52498">
      <w:pPr>
        <w:pageBreakBefore w:val="0"/>
        <w:widowControl w:val="0"/>
        <w:numPr>
          <w:ilvl w:val="0"/>
          <w:numId w:val="9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通道数：2通道；</w:t>
      </w:r>
    </w:p>
    <w:p w14:paraId="10CD0244">
      <w:pPr>
        <w:pageBreakBefore w:val="0"/>
        <w:widowControl w:val="0"/>
        <w:numPr>
          <w:ilvl w:val="0"/>
          <w:numId w:val="9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触发同步方式：磁感应触发，触发同步时间≤100 μs;</w:t>
      </w:r>
    </w:p>
    <w:p w14:paraId="635209E8">
      <w:pPr>
        <w:pageBreakBefore w:val="0"/>
        <w:widowControl w:val="0"/>
        <w:numPr>
          <w:ilvl w:val="0"/>
          <w:numId w:val="9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▲数据传输方式：WIFI;（提供检验报告）</w:t>
      </w:r>
    </w:p>
    <w:p w14:paraId="6F53CFF6">
      <w:pPr>
        <w:pageBreakBefore w:val="0"/>
        <w:widowControl w:val="0"/>
        <w:numPr>
          <w:ilvl w:val="0"/>
          <w:numId w:val="9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测量范围：1 μV～1000μV;</w:t>
      </w:r>
    </w:p>
    <w:p w14:paraId="1D43AAC1">
      <w:pPr>
        <w:pageBreakBefore w:val="0"/>
        <w:widowControl w:val="0"/>
        <w:numPr>
          <w:ilvl w:val="0"/>
          <w:numId w:val="9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最小分辨率：≤2μV;</w:t>
      </w:r>
    </w:p>
    <w:p w14:paraId="174918DD">
      <w:pPr>
        <w:pageBreakBefore w:val="0"/>
        <w:widowControl w:val="0"/>
        <w:numPr>
          <w:ilvl w:val="0"/>
          <w:numId w:val="9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频率范围：20Hz～500Hz。</w:t>
      </w:r>
    </w:p>
    <w:p w14:paraId="3F219402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（四）软件</w:t>
      </w:r>
    </w:p>
    <w:p w14:paraId="226CACC5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上位机软件符合GB/T 25000.51软件产品质量要求与评价；</w:t>
      </w:r>
    </w:p>
    <w:p w14:paraId="630C2C27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运动阈值及治疗方案自动记忆功能，减轻操作负担；</w:t>
      </w:r>
    </w:p>
    <w:p w14:paraId="2B250A24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可实现单脉冲刺激、重复脉冲刺激和模式化刺激(含TBS 模式)等多种刺激模式；</w:t>
      </w:r>
    </w:p>
    <w:p w14:paraId="6B805AE1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内置治疗方案库，多种临床方案供医生选择；</w:t>
      </w:r>
    </w:p>
    <w:p w14:paraId="0F56DD96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方案可自定义编辑，强度、频率、脉冲个数、间歇时间、串时间、串数等参数可调；</w:t>
      </w:r>
    </w:p>
    <w:p w14:paraId="607D561D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刺激方案具有数字和图形两种展示方式，刺激线圈温度显示与控制保护，温度达到40℃自动停止输出；</w:t>
      </w:r>
    </w:p>
    <w:p w14:paraId="00843B9C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▲治疗界面能够实时采集运动诱发电位，并提供图像和声音报警功能，以进行治疗过程中电生理安全监测；（提供彩页证明）</w:t>
      </w:r>
    </w:p>
    <w:p w14:paraId="05F5E9AA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自动化报告生成与打印功能，也可根据需要自定义编辑；</w:t>
      </w:r>
    </w:p>
    <w:p w14:paraId="21BBD855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患者基本信息、临床方案、诊疗记录等信息海量存储，并可实时查询、编辑及导出数据备份保存；</w:t>
      </w:r>
    </w:p>
    <w:p w14:paraId="54A6AD1B">
      <w:pPr>
        <w:pageBreakBefore w:val="0"/>
        <w:widowControl w:val="0"/>
        <w:numPr>
          <w:ilvl w:val="0"/>
          <w:numId w:val="1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含波形设置、权限设置等多种自设功能，满足用户多种临床及科研需求。</w:t>
      </w:r>
    </w:p>
    <w:p w14:paraId="1BD168AE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055823D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项目4：注射泵采购初步参数</w:t>
      </w:r>
    </w:p>
    <w:p w14:paraId="4D54961E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一、技术核心要求</w:t>
      </w:r>
    </w:p>
    <w:p w14:paraId="6F7FAE1C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1. 设备用途：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明确注明可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用于胰岛素、镇痛药、麻醉药等药物的精准、微量输注，支持普通注射模式与靶控输注（TCI）模式。</w:t>
      </w:r>
    </w:p>
    <w:p w14:paraId="5D20861B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2. 关键性能</w:t>
      </w:r>
    </w:p>
    <w:p w14:paraId="67485CB0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（1）资质要求：须是第三类医疗器械，具备NMPA注册证。</w:t>
      </w:r>
    </w:p>
    <w:p w14:paraId="2908F2DA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（2）注射精度：标称值应≤±2%，机械精度≤±1%，确保胰岛素等高风险药物的输注精准与安全。</w:t>
      </w:r>
    </w:p>
    <w:p w14:paraId="1C6782A3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（3）注射速度范围：0.01–1900ml/h，最小步进≤0.01ml/h，可满足新生儿至成人的微量及快速推注需求。</w:t>
      </w:r>
    </w:p>
    <w:p w14:paraId="0FBF0AF9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（4）适用注射器规格：应能兼容5ml、10ml、20ml、30ml、50/60ml等主流规格。</w:t>
      </w:r>
    </w:p>
    <w:p w14:paraId="4B3ADE39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（5）注射模式：不少于8种，至少包含速度模式、时间模式、体重模式、梯度模式、序列模式、剂量时间模式、间断给药模式、TIVA模式。</w:t>
      </w:r>
    </w:p>
    <w:p w14:paraId="7A7DD6B6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（6）阻塞报警与压力释放：</w:t>
      </w:r>
    </w:p>
    <w:p w14:paraId="73E3748D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①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具备动态压力监测功能，可实时显示当前压力数值或压力状态；</w:t>
      </w:r>
    </w:p>
    <w:p w14:paraId="67E9F898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②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阻塞压力报警档位≥10档可调；</w:t>
      </w:r>
    </w:p>
    <w:p w14:paraId="160B0939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③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具备阻塞后自动重启输液功能，短暂阻塞解除后无需人为干预即可自动恢复；</w:t>
      </w:r>
    </w:p>
    <w:p w14:paraId="282BE7C4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④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阻塞报警时产生的丸剂量应≤0.2ml。</w:t>
      </w:r>
    </w:p>
    <w:p w14:paraId="680C67C5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（7）防意外Bolus设计：应具备机械式防意外丸剂量注入功能（如电动离合、压力自动释放等），加载注射器时可自动感应制动，防止意外推注。</w:t>
      </w:r>
    </w:p>
    <w:p w14:paraId="444C856D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（8）药物库管理：可储存≥3000种药物信息，支持科室定制药物库。</w:t>
      </w:r>
    </w:p>
    <w:p w14:paraId="35B18E7C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（9）历史记录：可存储≥1000条历史记录，便于用药追溯。</w:t>
      </w:r>
    </w:p>
    <w:p w14:paraId="2D0DA774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（1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0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）电池续航：内置锂电池，续航≥6小时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，能满足急救转运需求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。</w:t>
      </w:r>
    </w:p>
    <w:p w14:paraId="5E31AF63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（1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）整机重量：双通道≤3.0kg。</w:t>
      </w:r>
    </w:p>
    <w:p w14:paraId="64910967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（1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）防水防尘等级：≥IPX3，满足临床清洁消毒需求。</w:t>
      </w:r>
    </w:p>
    <w:p w14:paraId="70D2E0FE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13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）使用年限：≥8年。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生产日期必须为2026年。</w:t>
      </w:r>
    </w:p>
    <w:p w14:paraId="727E1AC0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14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）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能满足在不同规格的输液架上稳固固定。</w:t>
      </w:r>
    </w:p>
    <w:p w14:paraId="11411445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二、商务与服务底线</w:t>
      </w:r>
    </w:p>
    <w:p w14:paraId="0B9156CC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1. 保修：整机全免费保修期不低于3年。</w:t>
      </w:r>
    </w:p>
    <w:p w14:paraId="7BE85212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2. 服务：报修后2小时内响应，24小时内上门；故障72小时内无法修复的，须提供备用机。</w:t>
      </w:r>
    </w:p>
    <w:p w14:paraId="7F4D93F5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3. 软件升级：软件终身免费升级。</w:t>
      </w:r>
    </w:p>
    <w:p w14:paraId="3CB517E0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4. 配件供应：设备停产后5年内保证配件供应。</w:t>
      </w:r>
    </w:p>
    <w:p w14:paraId="34CC1387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5. 培训服务：免费提供现场操作培训，确保使用科室人员能正确使用设备。</w:t>
      </w:r>
    </w:p>
    <w:p w14:paraId="51C178D8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6. 报价要求：按设备整机报价比价，同步提供配套耗材（若有）参考报价。</w:t>
      </w:r>
    </w:p>
    <w:p w14:paraId="421D3010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1500E0B0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项目5：麻醉系统采购初步参数</w:t>
      </w:r>
    </w:p>
    <w:p w14:paraId="11495A8F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bookmarkStart w:id="0" w:name="heading_0"/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一、技术核心要求</w:t>
      </w:r>
      <w:bookmarkEnd w:id="0"/>
    </w:p>
    <w:p w14:paraId="75C228D2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设备用途：用于手术室、胃肠镜室成人、儿童、新生儿吸入麻醉、机械通气，术中全程生命体征监测，开展全麻手术、无痛胃肠镜诊疗。</w:t>
      </w:r>
    </w:p>
    <w:p w14:paraId="4031900B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关键性能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（1）通气模式：标配 VCV、PCV 通气模式，支持升级 SIMV、PSV；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（2）监测项目：麻醉主机监测氧浓度、潮气量、气道压力、呼末 CO₂、麻醉气体浓度；配套监护仪标配 ECG、NIBP、SpO₂、TEMP、RESP、PR 六参数，双通道有创血压、主流 / 旁流两用呼末 CO₂，可分析 25 种心律失常，存储≥48 小时全息波形；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（3）回路与挥发罐：呼吸回路整体加热，配备皮囊支架；挥发罐具备压力、流量、温度三重补偿；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（4）显示屏：配套监护仪≥12 寸彩色高清显示屏；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（5）供电保障：麻醉主机内置锂电池，断电可持续稳定运行；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（6）报警功能：三级声光分级报警，异常自动弹窗提示，一键静音时长≤3 秒；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（7）拓展对接：支持 HL7 通用协议，可无缝接入医院 HIS 系统，支持兼容联动医用输注泵；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（8）使用年限：整机设计使用年限≥10 年。</w:t>
      </w:r>
    </w:p>
    <w:p w14:paraId="3FEBD0C2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bookmarkStart w:id="1" w:name="heading_1"/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麻醉机主机配置</w:t>
      </w:r>
      <w:bookmarkEnd w:id="1"/>
    </w:p>
    <w:p w14:paraId="119B982A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麻醉系统主机 1 台</w:t>
      </w:r>
    </w:p>
    <w:p w14:paraId="2B801660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氧、空双气源组件 1 套</w:t>
      </w:r>
    </w:p>
    <w:p w14:paraId="2213854D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加热呼吸回路（带皮囊支架） 1 套</w:t>
      </w:r>
    </w:p>
    <w:p w14:paraId="0D260F0B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通用标准单罐位挥发罐底座 1 个</w:t>
      </w:r>
    </w:p>
    <w:p w14:paraId="54EC430C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七氟醚蒸发器 1 个</w:t>
      </w:r>
    </w:p>
    <w:p w14:paraId="27364737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辅助供氧流量计 1 套</w:t>
      </w:r>
    </w:p>
    <w:p w14:paraId="587BA726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CPB Bypass 旁路组件 1 套</w:t>
      </w:r>
    </w:p>
    <w:p w14:paraId="021A6912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成人一次性麻醉附件包 1 套</w:t>
      </w:r>
    </w:p>
    <w:p w14:paraId="39E3894E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麻醉机专用配套操作系统 1 套</w:t>
      </w:r>
    </w:p>
    <w:p w14:paraId="464C28DC">
      <w:pPr>
        <w:pageBreakBefore w:val="0"/>
        <w:widowControl w:val="0"/>
        <w:numPr>
          <w:ilvl w:val="0"/>
          <w:numId w:val="1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内置备用锂电池 1 组</w:t>
      </w:r>
    </w:p>
    <w:p w14:paraId="4C1EFEC2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bookmarkStart w:id="2" w:name="heading_2"/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配套麻醉监护仪配置</w:t>
      </w:r>
      <w:bookmarkEnd w:id="2"/>
    </w:p>
    <w:p w14:paraId="4EAC1F98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插件式模块化监护仪主机 1 台</w:t>
      </w:r>
    </w:p>
    <w:p w14:paraId="44D2EDC8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12 寸彩色显示屏 1 块</w:t>
      </w:r>
    </w:p>
    <w:p w14:paraId="7598FB94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麻醉机一体式监护仪悬挂支架 1 套</w:t>
      </w:r>
    </w:p>
    <w:p w14:paraId="481B8B13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成人心电导联线 1 条</w:t>
      </w:r>
    </w:p>
    <w:p w14:paraId="57204EAB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成人无创血压袖带 1 个</w:t>
      </w:r>
    </w:p>
    <w:p w14:paraId="5F390E16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成人指套式血氧探头 1 条</w:t>
      </w:r>
    </w:p>
    <w:p w14:paraId="198EF18C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双通道有创血压监测模块及配套附件 1 套</w:t>
      </w:r>
    </w:p>
    <w:p w14:paraId="016AD780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体温监测探头 1 个</w:t>
      </w:r>
    </w:p>
    <w:p w14:paraId="1E17273C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主流 / 旁流两用呼末 CO₂监测模块 1 套</w:t>
      </w:r>
    </w:p>
    <w:p w14:paraId="56034833">
      <w:pPr>
        <w:pageBreakBefore w:val="0"/>
        <w:widowControl w:val="0"/>
        <w:numPr>
          <w:ilvl w:val="0"/>
          <w:numId w:val="1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设备电源线、操作手册 1 套</w:t>
      </w:r>
    </w:p>
    <w:p w14:paraId="3199CD73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bookmarkStart w:id="3" w:name="heading_3"/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二、商务与服务底线</w:t>
      </w:r>
      <w:bookmarkEnd w:id="3"/>
    </w:p>
    <w:p w14:paraId="614D2276">
      <w:pPr>
        <w:pageBreakBefore w:val="0"/>
        <w:widowControl w:val="0"/>
        <w:numPr>
          <w:ilvl w:val="0"/>
          <w:numId w:val="1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保修：整机原厂免费保修期不低于 2 年。</w:t>
      </w:r>
    </w:p>
    <w:p w14:paraId="630244CB">
      <w:pPr>
        <w:pageBreakBefore w:val="0"/>
        <w:widowControl w:val="0"/>
        <w:numPr>
          <w:ilvl w:val="0"/>
          <w:numId w:val="1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服务：故障报修 2 小时内响应，24 小时工程师上门；</w:t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Hans" w:bidi="ar-SA"/>
        </w:rPr>
        <w:t>厂家每年免费开展 2 次整机安全性能检测。</w:t>
      </w:r>
    </w:p>
    <w:p w14:paraId="0CC660B9">
      <w:pPr>
        <w:pageBreakBefore w:val="0"/>
        <w:widowControl w:val="0"/>
        <w:numPr>
          <w:ilvl w:val="0"/>
          <w:numId w:val="1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报价要求：麻醉系统整机成套报价比价，同步提供周期性损耗配件、一次性麻醉管路耗材参考报价。</w:t>
      </w:r>
    </w:p>
    <w:p w14:paraId="4F06EBD5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3570BF5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项目6：眼表综合分析仪技术参数</w:t>
      </w:r>
    </w:p>
    <w:p w14:paraId="369FBDB9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具备三种光源：近红外光源波长：845nm；蓝光波长：470nm；白光光源；</w:t>
      </w:r>
    </w:p>
    <w:p w14:paraId="56B40119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彩色相机分辨率： &lt;50um</w:t>
      </w:r>
    </w:p>
    <w:p w14:paraId="5CDFD9F0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近红外增强型相机分辨率： &lt;70um</w:t>
      </w:r>
    </w:p>
    <w:p w14:paraId="253BDED0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内置3套问卷：软件内置3套问卷调查（中国干眼问卷、DEQ-5、OSDI）</w:t>
      </w:r>
    </w:p>
    <w:p w14:paraId="035539FE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★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非侵入式泪河高度测量：具备自动测量，可自动标记完整泪河轮廓，可任意测量多个点位，输出平均值，精确到0.01mm。</w:t>
      </w:r>
    </w:p>
    <w:p w14:paraId="693FB76C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Hans" w:bidi="ar-SA"/>
        </w:rPr>
        <w:t>★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非侵入式泪膜破裂时间分析：可测得首次破裂时间、平均破裂时间、显示分区域显示破裂时间，</w:t>
      </w:r>
    </w:p>
    <w:p w14:paraId="33C591BD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泪膜破裂时间曲线图：能够显示泪膜破裂时间及破裂占比趋势图。</w:t>
      </w:r>
    </w:p>
    <w:p w14:paraId="741F7AE0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具有防误差功能：眼球晃动，闭眼等不会影响到实际检测结果。</w:t>
      </w:r>
    </w:p>
    <w:p w14:paraId="7068A0DF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脂质层分析：可做出5种分级，自动分析确定等级，并给出厚度参考数值。</w:t>
      </w:r>
    </w:p>
    <w:p w14:paraId="62B5CF7D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眼红分析功能：自动计算球结膜充血比例，具备图像增强功能，并完成自动分级，避免手动分级误差。</w:t>
      </w:r>
    </w:p>
    <w:p w14:paraId="42416615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不完全闭眼分析：可利用高频率相机捕捉闭眼程度，自动计算不完全闭眼比率，视频支持变速回放。</w:t>
      </w:r>
    </w:p>
    <w:p w14:paraId="6479F031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睑缘拍摄：支持视频、照片方式拍摄，自由切换，可多角度，多范围观察并描述睑缘开口、堵塞等情况。</w:t>
      </w:r>
    </w:p>
    <w:p w14:paraId="33AB697D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睑板腺拍摄：具备增强对比功能，自动计算缺失面积，定量分析缺失比例，支持拖动修改缺失比率。</w:t>
      </w:r>
    </w:p>
    <w:p w14:paraId="22688150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荧光素染色分析：具备高效滤光技术。分析采用荧光素染色12分法，将拍摄后角膜图像分为4个象限。</w:t>
      </w:r>
    </w:p>
    <w:p w14:paraId="71238621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报告一键查看：各检查项目完成即自动AI生成报告，无需刻意选择和保存，报告排版有多种报告排版可供用户选择。</w:t>
      </w:r>
    </w:p>
    <w:p w14:paraId="7C2BAB5F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具备语音导航功能：检查过程中可自动依据检查项目语音播报并提醒患者注意事项，且具体播报内容支持自定义修改。提升患者配合度，降低操作沟通成本，提升患者检查体验。</w:t>
      </w:r>
    </w:p>
    <w:p w14:paraId="20EDF823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具备报告模板自定义：能够支持客户依据需求自行设定报告版式个性化展示内容等，便于患者沟通和教育，增强患者满意度。</w:t>
      </w:r>
    </w:p>
    <w:p w14:paraId="0307C86E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自动量化分析：非侵入式泪膜高度测量、非侵入式泪膜破裂时间分析、眼红分析、脂质层分析、睑板腺分析、不完全闭眼分析。</w:t>
      </w:r>
    </w:p>
    <w:p w14:paraId="465E92E1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★具备快速合并测量功能：一次检查，NIBUT 与泪河高度同步自动分析标注测量结果；眨眼分析、脂质层量化分析、眼红分析同步自动分析测量结果</w:t>
      </w:r>
    </w:p>
    <w:p w14:paraId="61C1908C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具备数据批量分析功能：软件应支持数据批量分析功能，方便进行历史数据研究分析，并支持一键导出表表格，表格内容应包含患者信息、检查信息、各项检测结果、睑板腺图片、泪河图片等。</w:t>
      </w:r>
    </w:p>
    <w:p w14:paraId="014361B5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具备随访功能：应支持同一患者随访检查，自动进行前后两次检查报告的对比分析，生成趋势报告。</w:t>
      </w:r>
    </w:p>
    <w:p w14:paraId="53D61946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具有操作便捷属性：全项检查过程中无需更换镜头、切换光源、调整倍率等动作即可完成所有干眼检查。</w:t>
      </w:r>
    </w:p>
    <w:p w14:paraId="5930E4C3">
      <w:pPr>
        <w:pageBreakBefore w:val="0"/>
        <w:widowControl w:val="0"/>
        <w:numPr>
          <w:ilvl w:val="0"/>
          <w:numId w:val="14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配置清单：</w:t>
      </w:r>
    </w:p>
    <w:tbl>
      <w:tblPr>
        <w:tblStyle w:val="10"/>
        <w:tblW w:w="85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6151"/>
        <w:gridCol w:w="1185"/>
      </w:tblGrid>
      <w:tr w14:paraId="50362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3C503F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6605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9DCB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0637E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94D960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17C8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干眼检测仪主机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26BA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9092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3A2C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9958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TYPE-C转TYPE-A USB3.0线缆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A039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AC47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F28A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8A0F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干眼检测仪电源连接线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3B99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204C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043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1178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干眼检测仪电源适配器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105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650C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9094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6AF5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干眼检测仪防尘罩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130F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5BA9C0B3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</w:p>
    <w:p w14:paraId="43A4E520">
      <w:pPr>
        <w:jc w:val="both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项目7：病房负压站改造服务采购需求</w:t>
      </w:r>
    </w:p>
    <w:p w14:paraId="611B0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一、项目总体概况</w:t>
      </w:r>
    </w:p>
    <w:p w14:paraId="2AC43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本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项目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为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医院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病房负一楼负压站改造服务采购，服务方对负压站房原有老旧设备拆除、新设备供货及安装、站房改造（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管道连接、阀门、电线电缆及施工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）及系统调试验收等全部工作。</w:t>
      </w:r>
    </w:p>
    <w:p w14:paraId="14ECF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项目要求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采用油润滑旋片式真空泵（油泵）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，整套设备系统需满足全院800张常规病床日常使用需求，预留冗余设计，适配最高1000张病床运行工况，可保障全院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各病区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、ICU、手术室、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消化内镜室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等重点区域24小时不间断、稳定安全负压吸引作业。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所有供货设备、安装工艺、系统配置需适配项目所在地气候环境，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确保设备可以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长期稳定连续运行，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项目整体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符合国家现行法律法规、医用气体行业标准及特种设备安全规范。</w:t>
      </w:r>
    </w:p>
    <w:p w14:paraId="10661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设备技术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参数及功能要求</w:t>
      </w:r>
    </w:p>
    <w:p w14:paraId="39718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油润滑旋片式真空泵</w:t>
      </w:r>
    </w:p>
    <w:p w14:paraId="37736C9C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采用多机组冗余配置，供应商需在报名材料中明确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>标注机组几用几备配置方案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，满足全负荷不间断运行需求，单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  <w:t>一设备故障不影响整体系统供气。</w:t>
      </w:r>
    </w:p>
    <w:p w14:paraId="67B5F2BA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  <w:t>机器运行时应当低噪音、无剧烈震动，机房运行噪音≤80dB(A)，适配机房全天候长期连续运行工况。</w:t>
      </w:r>
    </w:p>
    <w:p w14:paraId="609AF5FD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报名方需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  <w:t>明确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u w:val="single"/>
          <w:lang w:val="en-US" w:eastAsia="zh-CN"/>
        </w:rPr>
        <w:t>标注单台设备额定功率、单台标准抽气量、泵体使用有效期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lang w:val="en-US" w:eastAsia="zh-CN"/>
        </w:rPr>
        <w:t>负压站房内所有真空泵总装机功率≤33kW，单台设备标准抽气量＞260m³/h。</w:t>
      </w:r>
    </w:p>
    <w:p w14:paraId="0B2C77F5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泵体带油气分离结构，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可有效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杜绝管路痰液水汽、冷凝水、气溶胶废液混入管网，仅干燥气体进入真空泵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内部，避免润滑油乳化、泵体锈蚀、部件老化损坏等问题。泵体入口标配手动切断阀门，便于后期设备检修、维护、单机启停操作，不影响整套系统运行。</w:t>
      </w:r>
    </w:p>
    <w:p w14:paraId="092F1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5. 每台真空泵配置独立启停控制开关，支持独立运维。</w:t>
      </w:r>
    </w:p>
    <w:p w14:paraId="4933A596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具有保养提醒报警功能。</w:t>
      </w:r>
    </w:p>
    <w:p w14:paraId="055E65C2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真空负压机组具备医疗器械注册证，符合国家医用负压设备相关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安全标准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适配手术室、ICU等特殊区域使用，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配置防回流装置，避免污物回流倒灌，规避交叉污染。</w:t>
      </w:r>
    </w:p>
    <w:p w14:paraId="64D00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（2）控制柜控制系统（即PLC）</w:t>
      </w:r>
    </w:p>
    <w:p w14:paraId="3756FC47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当控制柜控制系统（即PLC）出现故障或触摸屏控制器出现故障无法运行，切换到应急模式下，真空负压机组具备正常启动运行功能。</w:t>
      </w:r>
    </w:p>
    <w:p w14:paraId="65D22FCD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任意单台真空泵故障、检修停机时，其余机组可无缝接替运行，保障负压供气不中断。</w:t>
      </w:r>
    </w:p>
    <w:p w14:paraId="62CDB2A6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具备双重压力监测，不锈钢压力传感器及数显真空开关，压力调节范围可调，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>需标注压力可调区间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。 </w:t>
      </w:r>
    </w:p>
    <w:p w14:paraId="67BA4045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具备声光报警装置。</w:t>
      </w:r>
    </w:p>
    <w:p w14:paraId="63E0BA40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具备低压/超压/故障报警。</w:t>
      </w:r>
    </w:p>
    <w:p w14:paraId="47A66627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可人工分配或智能分配每台真空主机运行时间。</w:t>
      </w:r>
    </w:p>
    <w:p w14:paraId="78291F7D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具有断电自动恢复启动功能和应急启动功能。</w:t>
      </w:r>
    </w:p>
    <w:p w14:paraId="1466FB68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预留通讯接口、网络端口，可选用手机APP或电脑端实施监测，对站房设备进行24小时全方位监测与报警。</w:t>
      </w:r>
    </w:p>
    <w:p w14:paraId="7FCE11F6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具备排气收集瓶，脚轮及减震底座。</w:t>
      </w:r>
    </w:p>
    <w:p w14:paraId="76E291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负压真空罐</w:t>
      </w:r>
    </w:p>
    <w:p w14:paraId="7A01901F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配备真空检测罐，碳钢材质，带真空取样口，可实时监测罐内负压状态，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>需标注配置数量、单台容积和罐体使用有效期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。</w:t>
      </w:r>
    </w:p>
    <w:p w14:paraId="727B6BB2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配置真空罐，碳钢材质，每个罐体都需带有真空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压力表、压力传感器、排污阀、安全阀，超压自动泄压，压力实时监测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内外防腐防锈处理，耐医用腐蚀气体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符合特种设备安全标准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>需标注配置数量、单台容积和罐体使用有效期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。</w:t>
      </w:r>
    </w:p>
    <w:p w14:paraId="642C5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（4）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集污罐</w:t>
      </w:r>
    </w:p>
    <w:p w14:paraId="3BA7D013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配置医用集污罐，不锈钢材质，耐腐蚀、易清洁、适配医用污物收集工况，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>需标注配置数量、单台容积和罐体使用有效期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。</w:t>
      </w:r>
    </w:p>
    <w:p w14:paraId="65B4BF48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罐体带有观察窗，可查看内部污物存量，配套手动排污阀，可定期排污、清洁维护，有效截留系统管路废液、污物，保护后端真空泵及管路系统。</w:t>
      </w:r>
    </w:p>
    <w:p w14:paraId="31EC81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（5）真空泵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除菌过滤装置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和排气口消毒灭菌装置</w:t>
      </w:r>
    </w:p>
    <w:p w14:paraId="7B79731E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每台真空泵配套一套独立除菌过滤装置，采用不锈钢外壳，耐腐蚀、易拆装、便于滤芯更换。</w:t>
      </w:r>
    </w:p>
    <w:p w14:paraId="191BED35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具有滤芯性能监视功能，可实时监测滤芯状态，及时预警更换。</w:t>
      </w:r>
    </w:p>
    <w:p w14:paraId="57A25237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>提供真空泵除菌过滤装置的使用有效期、细菌过滤杀灭率和检测报告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。</w:t>
      </w:r>
    </w:p>
    <w:p w14:paraId="37EEF861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医用真空泵排气口增设一套消毒灭菌装置，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>需标注设备处理量、额定功率等设备关键信息，提供消毒灭菌装置的使用有效期、设备灭菌方式和设备灭菌效果检测报告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。站房机组排气口需预埋管道经灭菌器至室外。</w:t>
      </w:r>
    </w:p>
    <w:p w14:paraId="5D20F62A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u w:val="single"/>
          <w:lang w:val="en-US" w:eastAsia="zh-CN"/>
        </w:rPr>
        <w:t>完整提供站房内全部需定期更换的灭菌、过滤类耗材明细清单，清单包含：耗材名称、生产厂家、规格型号、安装位置、安装数量和更换周期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，作为终身免费更换服务执行依据。</w:t>
      </w:r>
    </w:p>
    <w:p w14:paraId="740C6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阀门及管路配套组件</w:t>
      </w:r>
    </w:p>
    <w:p w14:paraId="276D4D8A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配置一个分气缸，不锈钢材质，带真空压力表和排污阀，需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采用冗余扩容设计，预留管路接口及安装空间，结构布局可适配医院新增负压终端区域的扩容需求。</w:t>
      </w:r>
    </w:p>
    <w:p w14:paraId="220F03C3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按需配备电磁阀、止回阀、手动球阀、安全阀、排污阀等各类阀门。</w:t>
      </w:r>
    </w:p>
    <w:p w14:paraId="4797F526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管路防腐蚀、洁净无杂质，密封性良好，无漏气、无泄压，适配医用气体标准。</w:t>
      </w:r>
    </w:p>
    <w:p w14:paraId="2AFD3455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整套设备及管路系统做整体接地处理，符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合医用电气安全规范，杜绝静电、漏电风险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。</w:t>
      </w:r>
    </w:p>
    <w:p w14:paraId="38DFD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三、商务服务要求</w:t>
      </w:r>
    </w:p>
    <w:p w14:paraId="1DA9D303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整机含配套站房设备整体（含灭菌、过滤类耗材等各类保养、定期更换耗材）质保期不少于2年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，质保期内免费维修、免费更换非人为损坏配件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。</w:t>
      </w:r>
    </w:p>
    <w:p w14:paraId="1346B749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真空泵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除菌过滤装置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排气口消毒灭菌装置的使用有效期内，其配套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需定期更换的灭菌、过滤耗材提供免费更换服务。</w:t>
      </w:r>
    </w:p>
    <w:p w14:paraId="1662673F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在真空泵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除菌过滤装置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和排气口消毒灭菌装置的质保期内，提供整机配套需定期更换的灭菌、过滤类耗材，设备质保期内提供终身免费更换服务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。</w:t>
      </w:r>
    </w:p>
    <w:p w14:paraId="5A8CA392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售后响应：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7*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24小时全天候服务，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常规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故障报修后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30分钟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内响应，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4小时内到场处置，紧急故障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重大故障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报修后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30分钟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内响应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4小时内到场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抢修。</w:t>
      </w:r>
    </w:p>
    <w:p w14:paraId="1238B48B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质保期内每月提供1次免费上门巡检服务，排查设备隐患、清理过滤器、检查润滑油状态，保障设备稳定运行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。</w:t>
      </w:r>
    </w:p>
    <w:p w14:paraId="50A39989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设备安装调试完成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或医院管理人员发生变动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后，免费为医院后勤人员、设备运维人员提供操作、日常维护、故障排查培训，确保人员熟练操作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。</w:t>
      </w:r>
    </w:p>
    <w:p w14:paraId="4DE5B6E8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提供站房设备参考平面布局图，精准标注设备安装位置、管路走向、关键尺寸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。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场地平面图详见公告附件链接（可下载）。</w:t>
      </w:r>
    </w:p>
    <w:p w14:paraId="18900392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项目包含负压站房室内环境改造作业，要求室内墙面粉刷施工，地面处理后达到平整标准，地面材质不限，水泥地面、瓷砖地面等均满足使用要求。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F042FF20-A381-4DF0-9F84-A1389961DE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70A7322-D3D6-4245-B499-F8050CCFF23B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23697"/>
    <w:multiLevelType w:val="singleLevel"/>
    <w:tmpl w:val="8452369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4E0A972"/>
    <w:multiLevelType w:val="singleLevel"/>
    <w:tmpl w:val="84E0A972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935FAD9F"/>
    <w:multiLevelType w:val="singleLevel"/>
    <w:tmpl w:val="935FAD9F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9528EC30"/>
    <w:multiLevelType w:val="singleLevel"/>
    <w:tmpl w:val="9528EC30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95F3CED3"/>
    <w:multiLevelType w:val="singleLevel"/>
    <w:tmpl w:val="95F3CED3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 w:ascii="方正仿宋_GB2312" w:hAnsi="方正仿宋_GB2312" w:eastAsia="方正仿宋_GB2312" w:cs="方正仿宋_GB2312"/>
        <w:b w:val="0"/>
        <w:bCs w:val="0"/>
      </w:rPr>
    </w:lvl>
  </w:abstractNum>
  <w:abstractNum w:abstractNumId="5">
    <w:nsid w:val="A02EA1DB"/>
    <w:multiLevelType w:val="singleLevel"/>
    <w:tmpl w:val="A02EA1DB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B2166551"/>
    <w:multiLevelType w:val="singleLevel"/>
    <w:tmpl w:val="B2166551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7">
    <w:nsid w:val="C1CAB24C"/>
    <w:multiLevelType w:val="singleLevel"/>
    <w:tmpl w:val="C1CAB24C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C70722F4"/>
    <w:multiLevelType w:val="singleLevel"/>
    <w:tmpl w:val="C70722F4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9">
    <w:nsid w:val="EDD05FF1"/>
    <w:multiLevelType w:val="singleLevel"/>
    <w:tmpl w:val="EDD05FF1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0AEDA33F"/>
    <w:multiLevelType w:val="singleLevel"/>
    <w:tmpl w:val="0AEDA33F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1A3ACB78"/>
    <w:multiLevelType w:val="singleLevel"/>
    <w:tmpl w:val="1A3ACB78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28FDD919"/>
    <w:multiLevelType w:val="singleLevel"/>
    <w:tmpl w:val="28FDD919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2D761F7E"/>
    <w:multiLevelType w:val="singleLevel"/>
    <w:tmpl w:val="2D761F7E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2DA6EC12"/>
    <w:multiLevelType w:val="singleLevel"/>
    <w:tmpl w:val="2DA6EC12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43999EA9"/>
    <w:multiLevelType w:val="singleLevel"/>
    <w:tmpl w:val="43999EA9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6">
    <w:nsid w:val="45D508D6"/>
    <w:multiLevelType w:val="singleLevel"/>
    <w:tmpl w:val="45D508D6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4CFCAA3A"/>
    <w:multiLevelType w:val="singleLevel"/>
    <w:tmpl w:val="4CFCAA3A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8">
    <w:nsid w:val="4E8A4058"/>
    <w:multiLevelType w:val="singleLevel"/>
    <w:tmpl w:val="4E8A4058"/>
    <w:lvl w:ilvl="0" w:tentative="0">
      <w:start w:val="1"/>
      <w:numFmt w:val="decimal"/>
      <w:suff w:val="space"/>
      <w:lvlText w:val="%1."/>
      <w:lvlJc w:val="left"/>
    </w:lvl>
  </w:abstractNum>
  <w:abstractNum w:abstractNumId="19">
    <w:nsid w:val="65861668"/>
    <w:multiLevelType w:val="singleLevel"/>
    <w:tmpl w:val="65861668"/>
    <w:lvl w:ilvl="0" w:tentative="0">
      <w:start w:val="1"/>
      <w:numFmt w:val="decimal"/>
      <w:suff w:val="space"/>
      <w:lvlText w:val="%1."/>
      <w:lvlJc w:val="left"/>
    </w:lvl>
  </w:abstractNum>
  <w:abstractNum w:abstractNumId="20">
    <w:nsid w:val="7801BA86"/>
    <w:multiLevelType w:val="singleLevel"/>
    <w:tmpl w:val="7801BA86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1">
    <w:nsid w:val="7E34A4B3"/>
    <w:multiLevelType w:val="singleLevel"/>
    <w:tmpl w:val="7E34A4B3"/>
    <w:lvl w:ilvl="0" w:tentative="0">
      <w:start w:val="6"/>
      <w:numFmt w:val="decimal"/>
      <w:suff w:val="space"/>
      <w:lvlText w:val="%1."/>
      <w:lvlJc w:val="left"/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16"/>
  </w:num>
  <w:num w:numId="5">
    <w:abstractNumId w:val="10"/>
  </w:num>
  <w:num w:numId="6">
    <w:abstractNumId w:val="13"/>
  </w:num>
  <w:num w:numId="7">
    <w:abstractNumId w:val="19"/>
  </w:num>
  <w:num w:numId="8">
    <w:abstractNumId w:val="0"/>
  </w:num>
  <w:num w:numId="9">
    <w:abstractNumId w:val="3"/>
  </w:num>
  <w:num w:numId="10">
    <w:abstractNumId w:val="15"/>
  </w:num>
  <w:num w:numId="11">
    <w:abstractNumId w:val="6"/>
  </w:num>
  <w:num w:numId="12">
    <w:abstractNumId w:val="17"/>
  </w:num>
  <w:num w:numId="13">
    <w:abstractNumId w:val="8"/>
  </w:num>
  <w:num w:numId="14">
    <w:abstractNumId w:val="20"/>
  </w:num>
  <w:num w:numId="15">
    <w:abstractNumId w:val="5"/>
  </w:num>
  <w:num w:numId="16">
    <w:abstractNumId w:val="21"/>
  </w:num>
  <w:num w:numId="17">
    <w:abstractNumId w:val="12"/>
  </w:num>
  <w:num w:numId="18">
    <w:abstractNumId w:val="11"/>
  </w:num>
  <w:num w:numId="19">
    <w:abstractNumId w:val="7"/>
  </w:num>
  <w:num w:numId="20">
    <w:abstractNumId w:val="4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97561"/>
    <w:rsid w:val="009224FE"/>
    <w:rsid w:val="012960B7"/>
    <w:rsid w:val="0234619E"/>
    <w:rsid w:val="02E37169"/>
    <w:rsid w:val="04635110"/>
    <w:rsid w:val="047F2F94"/>
    <w:rsid w:val="04FA7115"/>
    <w:rsid w:val="06F061D0"/>
    <w:rsid w:val="075A3457"/>
    <w:rsid w:val="07E55609"/>
    <w:rsid w:val="0A2758D1"/>
    <w:rsid w:val="0A562B2D"/>
    <w:rsid w:val="0C252478"/>
    <w:rsid w:val="0DD26630"/>
    <w:rsid w:val="0DE56E61"/>
    <w:rsid w:val="0E666B26"/>
    <w:rsid w:val="11274EE5"/>
    <w:rsid w:val="120E7E53"/>
    <w:rsid w:val="15B566CC"/>
    <w:rsid w:val="15F15C66"/>
    <w:rsid w:val="170A3EF4"/>
    <w:rsid w:val="1732261A"/>
    <w:rsid w:val="17610ABD"/>
    <w:rsid w:val="17DF7A1A"/>
    <w:rsid w:val="17E94D8E"/>
    <w:rsid w:val="182D7DBF"/>
    <w:rsid w:val="193C45EE"/>
    <w:rsid w:val="1A3366A8"/>
    <w:rsid w:val="1A99258F"/>
    <w:rsid w:val="1AAA2EE8"/>
    <w:rsid w:val="1B2F18B4"/>
    <w:rsid w:val="1D235C86"/>
    <w:rsid w:val="1D460331"/>
    <w:rsid w:val="1EAE17BF"/>
    <w:rsid w:val="1EF23D6B"/>
    <w:rsid w:val="20AE1CFD"/>
    <w:rsid w:val="210E2693"/>
    <w:rsid w:val="21967F75"/>
    <w:rsid w:val="21D00DD1"/>
    <w:rsid w:val="22087AAA"/>
    <w:rsid w:val="229E0014"/>
    <w:rsid w:val="22C32FEA"/>
    <w:rsid w:val="23BA1190"/>
    <w:rsid w:val="23C95987"/>
    <w:rsid w:val="2476155B"/>
    <w:rsid w:val="2580476C"/>
    <w:rsid w:val="259F1126"/>
    <w:rsid w:val="25F34293"/>
    <w:rsid w:val="26005209"/>
    <w:rsid w:val="263317DE"/>
    <w:rsid w:val="28AE4351"/>
    <w:rsid w:val="2AA075F4"/>
    <w:rsid w:val="2B2F07C6"/>
    <w:rsid w:val="2B631DDB"/>
    <w:rsid w:val="2D2B320F"/>
    <w:rsid w:val="2DF301D1"/>
    <w:rsid w:val="30F2476F"/>
    <w:rsid w:val="3284589B"/>
    <w:rsid w:val="32AB482D"/>
    <w:rsid w:val="32DB1233"/>
    <w:rsid w:val="36B85B13"/>
    <w:rsid w:val="386C3059"/>
    <w:rsid w:val="395A56CE"/>
    <w:rsid w:val="3A1846C8"/>
    <w:rsid w:val="3E73334C"/>
    <w:rsid w:val="3EC8622A"/>
    <w:rsid w:val="3EE84AE4"/>
    <w:rsid w:val="4508235C"/>
    <w:rsid w:val="45472F4E"/>
    <w:rsid w:val="478C7238"/>
    <w:rsid w:val="479954ED"/>
    <w:rsid w:val="47D85797"/>
    <w:rsid w:val="48AB7349"/>
    <w:rsid w:val="49EA2030"/>
    <w:rsid w:val="4A5360C6"/>
    <w:rsid w:val="4AC960E9"/>
    <w:rsid w:val="4C143394"/>
    <w:rsid w:val="4F4F71D3"/>
    <w:rsid w:val="50A218B6"/>
    <w:rsid w:val="51E13E09"/>
    <w:rsid w:val="527369E5"/>
    <w:rsid w:val="52815D19"/>
    <w:rsid w:val="529E42FF"/>
    <w:rsid w:val="52C61160"/>
    <w:rsid w:val="5466366B"/>
    <w:rsid w:val="547C5F7A"/>
    <w:rsid w:val="54EC15A0"/>
    <w:rsid w:val="550A17D8"/>
    <w:rsid w:val="562E2EAB"/>
    <w:rsid w:val="564D5561"/>
    <w:rsid w:val="56AD2D63"/>
    <w:rsid w:val="58A509C8"/>
    <w:rsid w:val="5B2E768B"/>
    <w:rsid w:val="5FF3147B"/>
    <w:rsid w:val="61BF4E97"/>
    <w:rsid w:val="61C53537"/>
    <w:rsid w:val="61F10B12"/>
    <w:rsid w:val="62754478"/>
    <w:rsid w:val="62E55633"/>
    <w:rsid w:val="64D01601"/>
    <w:rsid w:val="65314B5F"/>
    <w:rsid w:val="65331F13"/>
    <w:rsid w:val="664D397F"/>
    <w:rsid w:val="671E2DBD"/>
    <w:rsid w:val="674476A9"/>
    <w:rsid w:val="6BDC307A"/>
    <w:rsid w:val="6BE61923"/>
    <w:rsid w:val="6D4159E8"/>
    <w:rsid w:val="6DB97DE8"/>
    <w:rsid w:val="6E327B54"/>
    <w:rsid w:val="6F2C1459"/>
    <w:rsid w:val="6F9A6C12"/>
    <w:rsid w:val="6FC860C0"/>
    <w:rsid w:val="70003AAC"/>
    <w:rsid w:val="700D50E9"/>
    <w:rsid w:val="70EB662F"/>
    <w:rsid w:val="71066EA0"/>
    <w:rsid w:val="710A73E4"/>
    <w:rsid w:val="715F3430"/>
    <w:rsid w:val="71752277"/>
    <w:rsid w:val="71A14E1B"/>
    <w:rsid w:val="76E557A9"/>
    <w:rsid w:val="77045287"/>
    <w:rsid w:val="775E0159"/>
    <w:rsid w:val="77713ED2"/>
    <w:rsid w:val="79A67472"/>
    <w:rsid w:val="7B260AB7"/>
    <w:rsid w:val="7C1728A9"/>
    <w:rsid w:val="7F17671C"/>
    <w:rsid w:val="7F4946CE"/>
    <w:rsid w:val="7F69341C"/>
    <w:rsid w:val="7FD402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99"/>
    <w:pPr>
      <w:spacing w:line="380" w:lineRule="exact"/>
    </w:pPr>
    <w:rPr>
      <w:sz w:val="24"/>
    </w:rPr>
  </w:style>
  <w:style w:type="paragraph" w:styleId="5">
    <w:name w:val="Body Text First Indent 2"/>
    <w:basedOn w:val="1"/>
    <w:qFormat/>
    <w:uiPriority w:val="0"/>
    <w:pPr>
      <w:spacing w:after="120"/>
      <w:ind w:left="420" w:leftChars="200" w:firstLine="420" w:firstLineChars="200"/>
    </w:pPr>
  </w:style>
  <w:style w:type="paragraph" w:styleId="6">
    <w:name w:val="Plain Text"/>
    <w:basedOn w:val="1"/>
    <w:qFormat/>
    <w:uiPriority w:val="99"/>
    <w:pPr>
      <w:spacing w:line="360" w:lineRule="auto"/>
    </w:pPr>
    <w:rPr>
      <w:rFonts w:ascii="宋体" w:hAnsi="Courier New"/>
      <w:kern w:val="0"/>
      <w:sz w:val="20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2">
    <w:name w:val="Strong"/>
    <w:basedOn w:val="11"/>
    <w:qFormat/>
    <w:uiPriority w:val="0"/>
    <w:rPr>
      <w:b/>
      <w:sz w:val="24"/>
      <w:szCs w:val="24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customStyle="1" w:styleId="15">
    <w:name w:val="List Paragraph_4d0a8ea8-4417-4d47-8822-603c652b3011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16">
    <w:name w:val="表格文字"/>
    <w:basedOn w:val="1"/>
    <w:qFormat/>
    <w:uiPriority w:val="0"/>
    <w:pPr>
      <w:spacing w:before="25" w:after="25" w:line="240" w:lineRule="auto"/>
      <w:ind w:firstLine="0"/>
      <w:jc w:val="left"/>
    </w:pPr>
    <w:rPr>
      <w:spacing w:val="10"/>
      <w:kern w:val="0"/>
      <w:sz w:val="24"/>
      <w:szCs w:val="24"/>
    </w:rPr>
  </w:style>
  <w:style w:type="paragraph" w:customStyle="1" w:styleId="17">
    <w:name w:val="列出段落2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20</Pages>
  <Words>6393</Words>
  <Characters>6859</Characters>
  <Lines>0</Lines>
  <Paragraphs>0</Paragraphs>
  <TotalTime>1</TotalTime>
  <ScaleCrop>false</ScaleCrop>
  <LinksUpToDate>false</LinksUpToDate>
  <CharactersWithSpaces>6969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水英</cp:lastModifiedBy>
  <dcterms:modified xsi:type="dcterms:W3CDTF">2026-08-04T08:53:35Z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eyJoZGlkIjoiODMxYzRhMTRiMmM2OWI4ZGYwYzM2ZGU0OTk0ODM4ZjMiLCJ1c2VySWQiOiI4MDYxODg2NDYifQ==</vt:lpwstr>
  </property>
  <property fmtid="{D5CDD505-2E9C-101B-9397-08002B2CF9AE}" pid="4" name="ICV">
    <vt:lpwstr>5CB68CD0C1CE4D869F07510B56BD1DF5_13</vt:lpwstr>
  </property>
</Properties>
</file>