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4FBF3">
      <w:pPr>
        <w:pStyle w:val="3"/>
        <w:pageBreakBefore w:val="0"/>
        <w:kinsoku/>
        <w:overflowPunct/>
        <w:topLinePunct w:val="0"/>
        <w:autoSpaceDE/>
        <w:autoSpaceDN/>
        <w:bidi w:val="0"/>
        <w:adjustRightInd/>
        <w:snapToGrid/>
        <w:spacing w:before="0" w:beforeLines="0" w:after="0" w:afterLines="0" w:line="560" w:lineRule="exact"/>
        <w:ind w:left="0" w:leftChars="0"/>
        <w:jc w:val="both"/>
        <w:textAlignment w:val="auto"/>
        <w:rPr>
          <w:rFonts w:hint="eastAsia" w:ascii="方正小标宋简体" w:hAnsi="方正小标宋简体" w:eastAsia="方正小标宋简体" w:cs="方正小标宋简体"/>
          <w:b w:val="0"/>
          <w:bCs/>
          <w:sz w:val="28"/>
          <w:szCs w:val="28"/>
          <w:lang w:val="en-US" w:eastAsia="zh-CN"/>
        </w:rPr>
      </w:pPr>
      <w:bookmarkStart w:id="0" w:name="_GoBack"/>
      <w:bookmarkEnd w:id="0"/>
      <w:r>
        <w:rPr>
          <w:rFonts w:hint="eastAsia" w:ascii="方正小标宋简体" w:hAnsi="方正小标宋简体" w:eastAsia="方正小标宋简体" w:cs="方正小标宋简体"/>
          <w:b w:val="0"/>
          <w:bCs/>
          <w:sz w:val="28"/>
          <w:szCs w:val="28"/>
          <w:lang w:val="en-US" w:eastAsia="zh-CN"/>
        </w:rPr>
        <w:t>包1：高压氧舱</w:t>
      </w:r>
    </w:p>
    <w:p w14:paraId="595D6E2E">
      <w:pPr>
        <w:pageBreakBefore w:val="0"/>
        <w:kinsoku/>
        <w:overflowPunct/>
        <w:topLinePunct w:val="0"/>
        <w:autoSpaceDE/>
        <w:autoSpaceDN/>
        <w:bidi w:val="0"/>
        <w:adjustRightInd/>
        <w:snapToGrid/>
        <w:spacing w:line="560" w:lineRule="exact"/>
        <w:ind w:left="0" w:leftChars="0"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本采购参数严格依据GB/T12130-2020《氧舱》、GB/T19904-2005《医用氧舱用电化学式测氧仪》、TSG24-2015《氧舱安全技术监察规程》、GB</w:t>
      </w:r>
      <w:r>
        <w:rPr>
          <w:rFonts w:hint="default" w:ascii="方正仿宋_GB2312" w:hAnsi="方正仿宋_GB2312" w:eastAsia="方正仿宋_GB2312" w:cs="方正仿宋_GB2312"/>
          <w:sz w:val="28"/>
          <w:szCs w:val="28"/>
          <w:lang w:val="en-US" w:eastAsia="zh-CN"/>
        </w:rPr>
        <w:t>150.1~150.4-2011</w:t>
      </w:r>
      <w:r>
        <w:rPr>
          <w:rFonts w:hint="eastAsia" w:ascii="方正仿宋_GB2312" w:hAnsi="方正仿宋_GB2312" w:eastAsia="方正仿宋_GB2312" w:cs="方正仿宋_GB2312"/>
          <w:sz w:val="28"/>
          <w:szCs w:val="28"/>
          <w:lang w:val="en-US" w:eastAsia="zh-CN"/>
        </w:rPr>
        <w:t>《压力容器》、GB9706.1《医用电气设备 第1部分：基本安全和基本性能的通用要求》、GB/T 7134-2008《浇注型工业有机玻璃板材》、GB/T 12243-2021《弹簧直接载荷式安全阀》、GB 50222-2017《建筑内部装修防火设计规范》等标准（以上标准如有最新版本，以最新版本为准）及医用高压氧临床规范制定，适用于本院高压氧设备公开招投标评审。所有参数分为核心技术要求与商务服务要求两大板块，为报名方统一评审标准。标注“★”的为核心参数，任一条负偏离按废标处理。</w:t>
      </w:r>
    </w:p>
    <w:p w14:paraId="61E289F3">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一、核心技术要求</w:t>
      </w:r>
    </w:p>
    <w:p w14:paraId="682CDE92">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（一）设备用途</w:t>
      </w:r>
    </w:p>
    <w:p w14:paraId="18C3FF9A">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本设备为医用空气加压高压氧舱系统（整套成套设备），适用于医院临床常规高压氧治疗、急诊减压病、一氧化碳中毒、缺血缺氧性脑病、创伤修复、术后康复等各类高压氧适应症诊疗工作。可满足成人常规治疗、轻症卧床患者治疗需求，支持规范升压、稳压、减压全程标准化治疗，具备实时安全监测、应急保护、降噪通风、氧浓度管控功能，适配医院常态化、高负荷临床使用。所有设计符合医用安全、院感防控、特种设备检测验收标准，可顺利通过市场监管部门压力容器年检及医疗设备合规验收。</w:t>
      </w:r>
    </w:p>
    <w:p w14:paraId="60518D77">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（二）关键核心性能</w:t>
      </w:r>
    </w:p>
    <w:p w14:paraId="1100E6A0">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1.整体资质与设计标准</w:t>
      </w:r>
    </w:p>
    <w:p w14:paraId="3928F3ED">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★1.1设备整体设计、制造、安装、调试、验收完全符合GB/T12130-2020《氧舱》、GB/T19904-2005《医用氧舱用电化学式测氧仪》、、TSG24-2015《氧舱安全技术监察规程》、GB</w:t>
      </w:r>
      <w:r>
        <w:rPr>
          <w:rFonts w:hint="default" w:ascii="方正仿宋_GB2312" w:hAnsi="方正仿宋_GB2312" w:eastAsia="方正仿宋_GB2312" w:cs="方正仿宋_GB2312"/>
          <w:sz w:val="28"/>
          <w:szCs w:val="28"/>
          <w:lang w:val="en-US" w:eastAsia="zh-CN"/>
        </w:rPr>
        <w:t>150.1~150.4-2011</w:t>
      </w:r>
      <w:r>
        <w:rPr>
          <w:rFonts w:hint="eastAsia" w:ascii="方正仿宋_GB2312" w:hAnsi="方正仿宋_GB2312" w:eastAsia="方正仿宋_GB2312" w:cs="方正仿宋_GB2312"/>
          <w:sz w:val="28"/>
          <w:szCs w:val="28"/>
          <w:lang w:val="en-US" w:eastAsia="zh-CN"/>
        </w:rPr>
        <w:t>《压力容器》、GB9706.1《医用电气设备 第1部分：基本安全和基本性能的通用要求》、GB/T 7134-2008《浇注型工业有机玻璃板材》、GB/T 12243-2021《弹簧直接载荷式安全阀》、GB 50222-2017《建筑内部装修防火设计规范》等国家标准（以最新标准为准）。报名方需提供全套合规检测报告、特种设备生产资质证书。</w:t>
      </w:r>
    </w:p>
    <w:p w14:paraId="7F3D6EE9">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1.2设备为医用正规空气加压氧舱，整机具备有效的《医疗器械注册证》（三类，适用范围明确标注“高压氧舱”或“医用空气加压氧舱”）、《医疗器械生产许可证》及有效期内的《中华人民共和国特种设备生产许可证》（氧舱A5）。拒绝非标改装、拼装设备、翻新设备、样机、二手设备。</w:t>
      </w:r>
    </w:p>
    <w:p w14:paraId="4D9446EC">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1.3舱体采用标准化医用分体式氧舱结构，配置12人主治疗舱+4人过渡舱标准布局，可适配科室现场场地尺寸优化排布，整体布局规整、通道通行宽敞顺畅，充分满足大批量患者进出转运、医护舱内外操作监护、突发情况快速应急疏散的使用需求。</w:t>
      </w:r>
    </w:p>
    <w:p w14:paraId="3C6AB27E">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1.4舱体设计使用年限不低于20年。</w:t>
      </w:r>
    </w:p>
    <w:p w14:paraId="58DA86BE">
      <w:pPr>
        <w:pageBreakBefore w:val="0"/>
        <w:kinsoku/>
        <w:overflowPunct/>
        <w:topLinePunct w:val="0"/>
        <w:autoSpaceDE/>
        <w:autoSpaceDN/>
        <w:bidi w:val="0"/>
        <w:adjustRightInd/>
        <w:snapToGrid/>
        <w:spacing w:line="560" w:lineRule="exact"/>
        <w:ind w:left="0" w:leftChars="0"/>
        <w:textAlignment w:val="auto"/>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1.5本项目不接受联合体投标。</w:t>
      </w:r>
    </w:p>
    <w:p w14:paraId="74D011CD">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2.压力系统核心参数</w:t>
      </w:r>
    </w:p>
    <w:p w14:paraId="3C81FCE8">
      <w:pPr>
        <w:pageBreakBefore w:val="0"/>
        <w:kinsoku/>
        <w:overflowPunct/>
        <w:topLinePunct w:val="0"/>
        <w:autoSpaceDE/>
        <w:autoSpaceDN/>
        <w:bidi w:val="0"/>
        <w:adjustRightInd/>
        <w:snapToGrid/>
        <w:spacing w:line="560" w:lineRule="exact"/>
        <w:ind w:left="0" w:leftChars="0"/>
        <w:textAlignment w:val="auto"/>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★2.1应配置不少于两组空压机，每组空压机的排量应满足对1组储气罐的充气时间不超过2小时。</w:t>
      </w:r>
    </w:p>
    <w:p w14:paraId="5B5278A0">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★2.2设计压力≥0.3MPa，额定最高工作压力≥0.20MPa（表压），满足常规高压氧治疗需求。报名方应明确标注所投产品的设计压力与最高工作压力。</w:t>
      </w:r>
    </w:p>
    <w:p w14:paraId="684C5B7E">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★2.3主舱升、降压速率在0.004MPa/min～0.020MPa/min范围内可调；过渡舱升、降压速率在0.008MPa/min～0.080MPa/min范围内可调。</w:t>
      </w:r>
    </w:p>
    <w:p w14:paraId="574E7E92">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2.4稳压保压性能：稳压阶段压力波动≤±0.01MPa，全程自动稳压，无需人工频繁干预。</w:t>
      </w:r>
    </w:p>
    <w:p w14:paraId="181429FB">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2.5压力显示配置：设备配备高精度精密压力表+实时数字压力监测系统，双路压力显示，机械表与电子数据同步校准，支持压力数据实时记录、溯源。</w:t>
      </w:r>
    </w:p>
    <w:p w14:paraId="7C5D2D80">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3.舱体规格与治疗容量</w:t>
      </w:r>
    </w:p>
    <w:p w14:paraId="432AEC48">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3.1舱体结构形式：平底、平封头圆形或方形高压氧舱。</w:t>
      </w:r>
    </w:p>
    <w:p w14:paraId="19D9849C">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★3.2舱体规格：舱体直径不低于2600mm，或内截面宽度不低于2400mm。报名方应根据医院现场条件提供适配的舱体尺寸方案，最终尺寸以现场勘察确认为准。</w:t>
      </w:r>
    </w:p>
    <w:p w14:paraId="0BE126D7">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3.3治疗人数：本项目高压氧舱额定进舱配置按12人主治疗舱+ 4人过渡舱确定，总额定进舱人数不低于16人；其中主治疗舱额定进舱人数不低于12人，过渡舱额定进舱人数不低于4人。报名方应根据该配置要求提供详细分舱方案，包括舱室结构、分区布置、通道尺寸、座椅排布、门体设置、治疗舱与过渡舱功能划分及相关安全措施。</w:t>
      </w:r>
    </w:p>
    <w:p w14:paraId="258875BF">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3.4主舱人均舱容不低于3m³/人。</w:t>
      </w:r>
    </w:p>
    <w:p w14:paraId="4401BF7F">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4.舱内环境安全参数</w:t>
      </w:r>
    </w:p>
    <w:p w14:paraId="3877A757">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4.1舱内氧浓度：舱内氧浓度全程自动监测，测氧仪精度≤±1%FS，量程</w:t>
      </w:r>
      <w:r>
        <w:rPr>
          <w:rFonts w:hint="default" w:ascii="方正仿宋_GB2312" w:hAnsi="方正仿宋_GB2312" w:eastAsia="方正仿宋_GB2312" w:cs="方正仿宋_GB2312"/>
          <w:sz w:val="28"/>
          <w:szCs w:val="28"/>
          <w:lang w:val="en-US" w:eastAsia="zh-CN"/>
        </w:rPr>
        <w:t>0~25</w:t>
      </w:r>
      <w:r>
        <w:rPr>
          <w:rFonts w:hint="eastAsia" w:ascii="方正仿宋_GB2312" w:hAnsi="方正仿宋_GB2312" w:eastAsia="方正仿宋_GB2312" w:cs="方正仿宋_GB2312"/>
          <w:sz w:val="28"/>
          <w:szCs w:val="28"/>
          <w:lang w:val="en-US" w:eastAsia="zh-CN"/>
        </w:rPr>
        <w:t>%，响应时间≤30秒，具备自动排氧调控功能，常态氧浓度≤23%，超阈值（≥23.5%）自动声光报警并启动强制通风。测氧仪须符合GB/T19904-2005标准，提供型式检验报告。</w:t>
      </w:r>
    </w:p>
    <w:p w14:paraId="5A0CC071">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4.2舱内噪音：额定升压、稳压、减压全程工作状态下，舱内噪音≤65dB(A)，无气流异响、机械共振噪音。</w:t>
      </w:r>
    </w:p>
    <w:p w14:paraId="543DB3D3">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4.3舱内照明：医用防爆照明系统：平均照度≥100Lx，照度不均匀度≤60%，光线柔和无眩光，满足医护观察、患者视物需求，所有灯具为防爆阻燃材质。</w:t>
      </w:r>
    </w:p>
    <w:p w14:paraId="01C50D26">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4.4舱内供电安全：舱内所有医疗设备（含心电监护仪、呼吸机等）及弱电设备工作电压≤24V安全低压，无高压通电设备。舱内设备不得含有电池等可能产生电火花的风险器件。所有进舱电气设备须通过电磁兼容（EMC）测试及高压环境适应性验证，杜绝电火花、漏电风险，符合密闭氧舱防爆安全规范。</w:t>
      </w:r>
    </w:p>
    <w:p w14:paraId="162BCCEA">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4.5温湿度调控：配备独立通风、调温系统-，舱内空气循环净化，无异味、无污浊堆积，适配长时间治疗工况，符合院感防控要求。</w:t>
      </w:r>
    </w:p>
    <w:p w14:paraId="3102EA94">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4.6 进舱空气质量：供气系统应配备多级过滤装置（油水分离器、空气过滤器等），进舱空气含油量≤0.1mg/m³，固体颗粒≤1mg/m³，含水量符合GB/T12130-2020标准要求-。报名方应提供空气质量检测报告或承诺书。</w:t>
      </w:r>
    </w:p>
    <w:p w14:paraId="6FE45451">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5.安全联锁与应急保护系统</w:t>
      </w:r>
    </w:p>
    <w:p w14:paraId="7E78795A">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★5.1压力联锁保护：舱门、递物筒具备全自动压力联锁装置，舱内带压状态下无法开启舱门、递物筒；递物筒锁紧压力≤0.02MPa，回位压力≤0.01MPa。</w:t>
      </w:r>
    </w:p>
    <w:p w14:paraId="637BDA4A">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★5.2超压保护：设置双重超压泄压装置，压力超出额定阈值时自动泄压、声光报警，具备机械泄压及电子自动泄压双重防护。</w:t>
      </w:r>
    </w:p>
    <w:p w14:paraId="6FEFABEF">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★5.3缺氧/超氧保护：氧浓度超标、通风异常、供氧异常实时报警，自动触发应急排风、断氧保护机制。</w:t>
      </w:r>
    </w:p>
    <w:p w14:paraId="082FD33B">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★5.4应急泄压功能：配备手动、电动双路应急快速泄压装置，突发紧急情况可快速、平稳减压，保障患者安全撤离。</w:t>
      </w:r>
    </w:p>
    <w:p w14:paraId="2084F61E">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5.5消防系统：每舱室应配置自动水喷淋消防系统或手持式消防水喷枪。</w:t>
      </w:r>
    </w:p>
    <w:p w14:paraId="42D7FF3E">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5.6故障自检系统：整机具备智能故障自检功能，可实时监测压力、氧浓度、通风、阀门、电路状态，故障自动弹窗提示、留存故障日志，便于检修溯源。</w:t>
      </w:r>
    </w:p>
    <w:p w14:paraId="4B5AEBE3">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6.控制系统与操作性能</w:t>
      </w:r>
    </w:p>
    <w:p w14:paraId="1D4E3269">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6.1一体化智能控制台：集中集成压力控制、供排氧、通风、照明、对讲、监测、报警所有功能，分区布局合理，操作人性化，支持全自动标准化治疗程序及人工手动干预双模式。</w:t>
      </w:r>
    </w:p>
    <w:p w14:paraId="38E765C4">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6.2控制系统：采用计算机自动化操舱系统，具备自动加减压、自动排氧及氧浓度安全锁定、舱压自动稳定、温度自动控制、语音提示等功能。同时配置手动操作控制系统作为备份。</w:t>
      </w:r>
    </w:p>
    <w:p w14:paraId="51832A44">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★6.3全程数据记录：可自动记录每次治疗的压力、时间、氧浓度、温湿度、操作记录，数据可存储、查询、导出、打印。</w:t>
      </w:r>
    </w:p>
    <w:p w14:paraId="00FBDFB0">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6.4一键治疗程序：内置多套临床标准治疗方案（常规治疗、一氧化碳中毒、康复治疗等），一键启动，减少人工操作误差。</w:t>
      </w:r>
    </w:p>
    <w:p w14:paraId="7DA318B7">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6.5控制系统应具备标准数据接口（支持HL7、FHIR或医院指定的数据协议），免费开放所有数据接口，配合医院完成与HIS/EMR系统的数据对接，对接费用由中标商承担。</w:t>
      </w:r>
    </w:p>
    <w:p w14:paraId="1E3D692F">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7.通讯与监护系统</w:t>
      </w:r>
    </w:p>
    <w:p w14:paraId="7F7DEAD6">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7.1双向高清对讲系统：舱内外实时无障碍对讲，无杂音、无延迟，全程可监听、通话，保障医护实时监护患者状态。</w:t>
      </w:r>
    </w:p>
    <w:p w14:paraId="601E1381">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7.2舱内监控系统：配备高清舱内监控系统，支持实时画面查看、录像存储，适配危重患者全程监护需求。</w:t>
      </w:r>
    </w:p>
    <w:p w14:paraId="50BF9455">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7.3舱内吸氧装置：配备多功能吸氧装置，每组模块具备常规吸氧、一级吸氧、雾化吸氧和负压吸引接口及紧急呼叫报警功能。</w:t>
      </w:r>
    </w:p>
    <w:p w14:paraId="2580E5F4">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8.材质与耐用性要求</w:t>
      </w:r>
    </w:p>
    <w:p w14:paraId="20F77178">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8.1舱体采用压力容器专用钢材（Q345R或同等及以上材质），板材厚度≥14mm，防腐、防锈、耐压、抗老化，表面医用环保涂装。报名方应提供材质证明文件及钢板厚度检测报告。</w:t>
      </w:r>
    </w:p>
    <w:p w14:paraId="4125DB22">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8.2舱内内饰、座椅、扶手、管路均为医用阻燃、防滑、耐腐蚀材质，适配高频次消毒使用，不滋生细菌、不老化掉皮。</w:t>
      </w:r>
    </w:p>
    <w:p w14:paraId="595D4066">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8.3所有管路、阀门、密封件为专用氧舱配件，耐高压、耐氧化，密封性稳定，长期使用无漏气、漏压现象。</w:t>
      </w:r>
    </w:p>
    <w:p w14:paraId="437A4F53">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9.配置要求：</w:t>
      </w:r>
    </w:p>
    <w:p w14:paraId="336C296B">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9.1投标设备至少包含以下主要配置：舱体（壳体、舱门、观察窗、安全阀）、供气系统、供氧系统、空调系统、电气系统、监视监控及对讲系统、控制台。</w:t>
      </w:r>
    </w:p>
    <w:p w14:paraId="3994764E">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9.2舱内配置高压氧舱专用角度可调、可移动双扶手活动座椅（主舱12张，过渡舱4张），座椅满足高压氧舱使用安全要求，面料阻燃等级达A级，适配坐式氧疗；舱内另配置高压氧舱专用双向调节医疗床4张。</w:t>
      </w:r>
    </w:p>
    <w:p w14:paraId="444F4052">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9.3每套吸氧装具具备常规吸氧、雾化吸氧、一级吸氧、负压吸引、应急呼叫等功能。</w:t>
      </w:r>
    </w:p>
    <w:p w14:paraId="77241A81">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9.4舱内药品柜</w:t>
      </w:r>
    </w:p>
    <w:p w14:paraId="2C57EBD3">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治疗舱、过渡舱须配设药品柜，不少于1套。</w:t>
      </w:r>
    </w:p>
    <w:p w14:paraId="0EFE72A4">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9.5舱内输液吊架</w:t>
      </w:r>
    </w:p>
    <w:p w14:paraId="07EA45FF">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治疗舱、过渡舱均须配设输液吊架，治疗舱不少于2套，过渡舱不少于1套。</w:t>
      </w:r>
    </w:p>
    <w:p w14:paraId="6E579C74">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9.6舱内心电监护仪</w:t>
      </w:r>
    </w:p>
    <w:p w14:paraId="2FE43FB8">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舱内配设生物电无损导联装置接口，每座位1套（主舱≥12套、过渡舱≥4套），确保信号不衰减、图形不变形。配备高压氧舱专用无线遥测/有线多参数监护系统1套，至少支持16人同时监护（主舱12人+过渡舱4人）。系统组成：舱外中央监护工作站1台（含显示器、主机、软件）、舱内患者端信号发射器16个（无电池设计，工作电压≤24V）、舱内导联线16套。监测参数至少包含心电、血压、呼吸、血氧饱和度、脉率、体温。舱外中央站支持16通道同屏显示、数据存储、回放、趋势图分析、报警及报告打印。</w:t>
      </w:r>
    </w:p>
    <w:p w14:paraId="38324A61">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9.7氧舱专用呼吸机</w:t>
      </w:r>
    </w:p>
    <w:p w14:paraId="66231A34">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舱内配呼吸机气源接口装置，主舱不少于2套、过渡舱不少于1套，接口设置在舱壁或多功能吸氧面板上。配备高压氧舱专用呼吸机1台（非电控呼吸机，呼吸机配置清单至少包：呼吸机主机1台、压力流量采样管2根、流量传感器2个、医用硅胶连接管2根、手动复苏皮囊1个、成人呼吸面罩1个、呼气阀2个、氧舱专用高压供氧管、重复式呼吸管路全套附件1套、加温湿化罐2个；所有管路、传感器、阀门等耗材均为耐高压阻燃氧舱专用配件。投标人需列明全部配件原厂规格参数。</w:t>
      </w:r>
    </w:p>
    <w:p w14:paraId="410D4ECD">
      <w:pPr>
        <w:pageBreakBefore w:val="0"/>
        <w:kinsoku/>
        <w:overflowPunct/>
        <w:topLinePunct w:val="0"/>
        <w:autoSpaceDE/>
        <w:autoSpaceDN/>
        <w:bidi w:val="0"/>
        <w:adjustRightInd/>
        <w:snapToGrid/>
        <w:spacing w:line="560" w:lineRule="exact"/>
        <w:ind w:left="0" w:leftChars="0"/>
        <w:textAlignment w:val="auto"/>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9.8配备高压氧舱专用吸氧头罩不少于6套。罩体采用无毒有机玻璃（聚碳酸酯或同等医用级透明材料）制成，透明可视，适配成年人头颈部尺寸，头罩底部安装柔性密封体，确保头罩与患者颈部贴合密闭，防止氧气外漏，可重复消毒使用。</w:t>
      </w:r>
    </w:p>
    <w:p w14:paraId="71488761">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注：报名方应在投标文件中提供完整的舱内医疗设备配置清单，包括但不限于：药品柜（材质、尺寸、安装方式）、输液吊架（材质、数量、承重）、心电监护仪（品牌、型号、监测参数、数量）、呼吸机（品牌、型号、通气模式、数量），并提供所有设备的产品彩页、技术白皮书、注册证及检测报告</w:t>
      </w:r>
    </w:p>
    <w:p w14:paraId="51800F0C">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二、商务与服务要求</w:t>
      </w:r>
    </w:p>
    <w:p w14:paraId="0808A99C">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（一）保修要求</w:t>
      </w:r>
    </w:p>
    <w:p w14:paraId="556390BD">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1.1整机质保：供应商须提供自设备最终验收合格之日起，不少于3年的整机免费质保服务。质保期内，因设备自身质量问题（非正常损耗）导致的任何故障、损坏及零部件更换（包括但不限于密封圈、阀门、滤芯、灯管等），其维修、更换及人工费用均由供应商承担。质保期内，免收上门服务费、人工费、差旅费。</w:t>
      </w:r>
    </w:p>
    <w:p w14:paraId="7BB0A172">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1.2核心系统质保：控制系统等核心部件，须提供不少于5年的免费质保，质保范围及服务标准同整机质保。</w:t>
      </w:r>
    </w:p>
    <w:p w14:paraId="2DA14637">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1.3压力容器质保：氧舱舱体、储气罐等压力容器的主体结构（壳体、焊缝、封头），须提供不少于20年的免费质保。在质保期内，若因材质、焊接等制造缺陷导致的结构性失效、裂纹、泄漏等问题，供应商负责免费维修或更换，并承担特检院重新检验的全部费用。</w:t>
      </w:r>
    </w:p>
    <w:p w14:paraId="57F68F9B">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1.4易损消耗件管理：供应商须在投标文件中提供详细的《易损消耗件清单》及单价，清单至少包含：测氧仪传感器、密封圈、阀门、滤芯、灯管、呼吸管路、面罩、湿化罐、流量传感器等，并承诺该价格在质保期内不变。</w:t>
      </w:r>
    </w:p>
    <w:p w14:paraId="71CD9C3A">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1.5在整机质保期内的法定周期校验/检定费、维修费及因校验不合格需更换新件的配件费，均由供应商承担：安全阀（每年至少校验1次）、压力表（安装前首次检定及后续周期检定）。校验/检定期间，供应商应提供备用件，确保设备正常使用。</w:t>
      </w:r>
    </w:p>
    <w:p w14:paraId="70D91BF6">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1.6保期内每季度提供1次主动巡检、设备保养、参数校准服务，留存巡检记录。</w:t>
      </w:r>
    </w:p>
    <w:p w14:paraId="377EA03B">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★1.7质保期满后提供终身成本价维修（仅收取配件成本，免收上门工时费）、终身技术支持，配件长期保供，不停产、不缺货。</w:t>
      </w:r>
    </w:p>
    <w:p w14:paraId="5BA89E27">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1.8软件升级：质保期内，供应商须免费提供所有系统软件的安全补丁和功能升级服务。质保期满后，因医院HIS/EMR等信息系统升级导致需进行数据接口适配的，供应商应免费配合完成对接。</w:t>
      </w:r>
    </w:p>
    <w:p w14:paraId="6040EFC0">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（二）服务要求</w:t>
      </w:r>
    </w:p>
    <w:p w14:paraId="732770B9">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★2.1本地化服务：报名方需具备省内常驻售后团队、专职技术工程师，提供证明材料；故障响应：市区范围内2小时响应、4小时到场、24小时内修复，保障临床不中断治疗。</w:t>
      </w:r>
    </w:p>
    <w:p w14:paraId="462A4E47">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★2.2全包落地服务：包含设备运输、卸货、安装、调试、管路铺设、电路改造、整机校准、特检院报检、验收取证、科室合规备案全部费用，交付即达到可直接临床使用状态。</w:t>
      </w:r>
    </w:p>
    <w:p w14:paraId="191DFDFE">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★2.3免费培训：交付后提供全员免费实操培训、质控培训、安全培训、设备维护培训，覆盖医护操作人员、设备管理员、院感质控人员，培训后发放操作培训证明，保证全员持证规范操作。</w:t>
      </w:r>
    </w:p>
    <w:p w14:paraId="2DA23D30">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★2.4资料交付：免费提供全套竣工图纸、设备说明书、合格证、检测报告、维保手册、操作手册、质控资料、验收备案全套资料，装订成册及电子档双交付。</w:t>
      </w:r>
    </w:p>
    <w:p w14:paraId="4A5CB25D">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★2.5升级服务：质保期内免费提供系统软件升级、治疗程序更新、安全参数优化升级。</w:t>
      </w:r>
    </w:p>
    <w:p w14:paraId="5BD7E063">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（三）报名方资质要求</w:t>
      </w:r>
    </w:p>
    <w:p w14:paraId="6FCBF4A6">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★3.1报名方（如为生产商）需具备有效的《医疗器械生产许可证》、《医疗器械注册证》及《中华人民共和国特种设备生产许可证》（氧舱A5）。</w:t>
      </w:r>
    </w:p>
    <w:p w14:paraId="7B06A766">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★3.2报名方（如为经销商）需具备有效的《医疗器械经营许可证》或《医疗器械经营备案凭证》，并提供所投产品生产商的完整授权文件。</w:t>
      </w:r>
    </w:p>
    <w:p w14:paraId="097103B7">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3.3报名方需具备三级及以上医院同类设备成功案例，提供合同及验收证明。</w:t>
      </w:r>
    </w:p>
    <w:p w14:paraId="7C98622E">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（四）报价要求</w:t>
      </w:r>
    </w:p>
    <w:p w14:paraId="497CF76D">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★3.4本次报价为闭口全包总价，包含设备本体、配件、运输、装卸、安装、调试、辅材、管路、验收、取证、培训、质保、维保巡检、税费、服务费所有费用，中标后无任何增项加价。</w:t>
      </w:r>
    </w:p>
    <w:p w14:paraId="32AA0264">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3.5报价清单分项清晰，单独列明设备主体、控制系统、安全系统、辅材、服务、税费明细，严禁模糊报价、捆绑虚高报价。</w:t>
      </w:r>
    </w:p>
    <w:p w14:paraId="7D51DDB0">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★3.6所有投标产品必须全新原厂正品、无翻新、无拼装、无样机、无二手设备，一经发现作废标处理。</w:t>
      </w:r>
    </w:p>
    <w:p w14:paraId="2EDB8340">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3.7报价符合市场公允价格，恶意低价、低于成本价、虚高溢价均视为无效投标，不予评审。</w:t>
      </w:r>
    </w:p>
    <w:p w14:paraId="4350C31F">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3.8支持合同分期付款，付款方式符合公立医院财务规范，无不合理预付全款要求。</w:t>
      </w:r>
    </w:p>
    <w:p w14:paraId="4E30F02B">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（五）交付要求</w:t>
      </w:r>
    </w:p>
    <w:p w14:paraId="48771DDB">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3.9设备交付周期：合同签订后90日历天内完成到货、安装、调试、验收取证、交付使用。如因报名方原因导致未能按期交付，每逾期1日，按合同总金额的0.5‰向医院支付违约金；逾期超过30日的，医院有权单方解除合同，报名方应退还已付款项并承担违约责任。</w:t>
      </w:r>
    </w:p>
    <w:p w14:paraId="1CED1857">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4.0验收标准与流程：</w:t>
      </w:r>
    </w:p>
    <w:p w14:paraId="1DB506C9">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（1）设备安装调试完成后，由医院、报名方、特检院三方共同参与验收。</w:t>
      </w:r>
    </w:p>
    <w:p w14:paraId="0E34A11E">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（2）验收依据：本采购文件全部技术参数、投标文件响应内容、GB/T12130-2020《氧舱》、TSG 24-2015《氧舱安全技术监察规程》及特种设备监督检验标准。</w:t>
      </w:r>
    </w:p>
    <w:p w14:paraId="5BA67672">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（3）验收内容：设备完整性检查、功能性能测试、安全联锁验证、氧浓度控制精度测试、噪音测试、消防系统测试、进舱空气质量检测等。</w:t>
      </w:r>
    </w:p>
    <w:p w14:paraId="4865B8CD">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（4）验收合格标准：全部★参数实测达标，重要参数负偏离不超过5条，取得特种设备使用登记证。</w:t>
      </w:r>
    </w:p>
    <w:p w14:paraId="5A3BEFE7">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（5）验收不合格的，报名方应在30日历天内完成整改并重新报验，相关费用由报名方承担。逾期仍不合格的，医院有权解除合同并要求赔偿。</w:t>
      </w:r>
    </w:p>
    <w:p w14:paraId="400D4DA1">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三、评审与说明</w:t>
      </w:r>
    </w:p>
    <w:p w14:paraId="79B0804B">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标注“★”的参数为实质性响应条款，任意一条负偏离按废标处理。</w:t>
      </w:r>
    </w:p>
    <w:p w14:paraId="7C6A3793">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报名方应提供所投产品的详细技术参数、产品彩页、技术白皮书、配置清单（含分项价格）等。</w:t>
      </w:r>
    </w:p>
    <w:p w14:paraId="06C46DD4">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报名方应在投标前进行现场勘察（需在投标文件中提供现场勘察确认函，场地平面图纸详见附件），并根据医院现场条件提供详细的舱体布局图、设备平面布置图、管路走向图、电气布线图。中标后如因尺寸适配问题导致无法安装，由中标商承担全部责任和费用。</w:t>
      </w:r>
    </w:p>
    <w:p w14:paraId="45C713CB">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报名方需提供舱体完整尺寸图纸，并在图纸中清晰标注产品长、宽、高、舱体自重及各项关键尺寸、重量参数。若设备进场安装需拆除墙体、对地面实施承重加固等土建改造作业，报名方应单独出具专项改造施工方案，并列明完整改造明细报价。（图片详见公告：附件4）</w:t>
      </w:r>
    </w:p>
    <w:p w14:paraId="4AEC3F66">
      <w:pPr>
        <w:pageBreakBefore w:val="0"/>
        <w:kinsoku/>
        <w:overflowPunct/>
        <w:topLinePunct w:val="0"/>
        <w:autoSpaceDE/>
        <w:autoSpaceDN/>
        <w:bidi w:val="0"/>
        <w:adjustRightInd/>
        <w:snapToGrid/>
        <w:spacing w:line="240" w:lineRule="auto"/>
        <w:ind w:left="0" w:leftChars="0"/>
        <w:textAlignment w:val="auto"/>
        <w:rPr>
          <w:rFonts w:hint="eastAsia"/>
          <w:lang w:val="en-US" w:eastAsia="zh-CN"/>
        </w:rPr>
      </w:pPr>
      <w:r>
        <w:rPr>
          <w:rFonts w:hint="eastAsia" w:ascii="方正仿宋_GB2312" w:hAnsi="方正仿宋_GB2312" w:eastAsia="方正仿宋_GB2312" w:cs="方正仿宋_GB2312"/>
          <w:sz w:val="28"/>
          <w:szCs w:val="28"/>
          <w:lang w:val="en-US" w:eastAsia="zh-CN"/>
        </w:rPr>
        <w:drawing>
          <wp:inline distT="0" distB="0" distL="114300" distR="114300">
            <wp:extent cx="5688330" cy="4022090"/>
            <wp:effectExtent l="0" t="0" r="7620" b="16510"/>
            <wp:docPr id="1" name="图片 1" descr="高压氧舱建筑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高压氧舱建筑图_01"/>
                    <pic:cNvPicPr>
                      <a:picLocks noChangeAspect="1"/>
                    </pic:cNvPicPr>
                  </pic:nvPicPr>
                  <pic:blipFill>
                    <a:blip r:embed="rId4"/>
                    <a:stretch>
                      <a:fillRect/>
                    </a:stretch>
                  </pic:blipFill>
                  <pic:spPr>
                    <a:xfrm>
                      <a:off x="0" y="0"/>
                      <a:ext cx="5688330" cy="4022090"/>
                    </a:xfrm>
                    <a:prstGeom prst="rect">
                      <a:avLst/>
                    </a:prstGeom>
                  </pic:spPr>
                </pic:pic>
              </a:graphicData>
            </a:graphic>
          </wp:inline>
        </w:drawing>
      </w:r>
      <w:r>
        <w:rPr>
          <w:rFonts w:hint="eastAsia" w:ascii="方正仿宋_GB2312" w:hAnsi="方正仿宋_GB2312" w:eastAsia="方正仿宋_GB2312" w:cs="方正仿宋_GB2312"/>
          <w:sz w:val="28"/>
          <w:szCs w:val="28"/>
          <w:lang w:val="en-US" w:eastAsia="zh-CN"/>
        </w:rPr>
        <w:t>。</w:t>
      </w:r>
    </w:p>
    <w:p w14:paraId="7AC7E97F">
      <w:pPr>
        <w:pageBreakBefore w:val="0"/>
        <w:kinsoku/>
        <w:overflowPunct/>
        <w:topLinePunct w:val="0"/>
        <w:autoSpaceDE/>
        <w:autoSpaceDN/>
        <w:bidi w:val="0"/>
        <w:adjustRightInd/>
        <w:snapToGrid/>
        <w:spacing w:line="560" w:lineRule="exact"/>
        <w:ind w:left="0" w:leftChars="0"/>
        <w:jc w:val="both"/>
        <w:textAlignment w:val="auto"/>
        <w:rPr>
          <w:rFonts w:hint="eastAsia" w:ascii="方正小标宋简体" w:hAnsi="方正小标宋简体" w:eastAsia="方正小标宋简体" w:cs="方正小标宋简体"/>
          <w:b w:val="0"/>
          <w:bCs w:val="0"/>
          <w:sz w:val="28"/>
          <w:szCs w:val="28"/>
          <w:lang w:val="en-US" w:eastAsia="zh-CN"/>
        </w:rPr>
      </w:pPr>
    </w:p>
    <w:p w14:paraId="798B64C6">
      <w:pPr>
        <w:pStyle w:val="3"/>
        <w:pageBreakBefore w:val="0"/>
        <w:kinsoku/>
        <w:overflowPunct/>
        <w:topLinePunct w:val="0"/>
        <w:autoSpaceDE/>
        <w:autoSpaceDN/>
        <w:bidi w:val="0"/>
        <w:adjustRightInd/>
        <w:snapToGrid/>
        <w:spacing w:before="0" w:beforeLines="0" w:after="0" w:afterLines="0" w:line="560" w:lineRule="exact"/>
        <w:ind w:left="0" w:leftChars="0"/>
        <w:jc w:val="both"/>
        <w:textAlignment w:val="auto"/>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包2：C形臂X射线机</w:t>
      </w:r>
    </w:p>
    <w:p w14:paraId="7C5E77D7">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一、技术核心要求</w:t>
      </w:r>
    </w:p>
    <w:p w14:paraId="522DA688">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1.设备用途：适用于脊柱外科、创伤骨科、疼痛科、关节外科、小儿骨科等科室，可进行脊柱手术、整复、置钉、局部透视摄影等。</w:t>
      </w:r>
    </w:p>
    <w:p w14:paraId="57E35E0A">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2.关键性能</w:t>
      </w:r>
    </w:p>
    <w:p w14:paraId="1F01AA07">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1、术中三维成像。</w:t>
      </w:r>
    </w:p>
    <w:p w14:paraId="33013A84">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2、190°三维扫描角度、电驱动沿轨道滑转、类CT切片图像信息。</w:t>
      </w:r>
    </w:p>
    <w:p w14:paraId="4482DC6B">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3、始终保持拍摄主体处于射线束的中心。≤90cm的C臂开口空间。</w:t>
      </w:r>
    </w:p>
    <w:p w14:paraId="2E64CEF3">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4、三维采集模式下， ≤30s完成三维序列图像采集。</w:t>
      </w:r>
    </w:p>
    <w:p w14:paraId="5F59937C">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5、集成手术导航和手术机器人接口，可无线传输图像数据至导航设备。</w:t>
      </w:r>
    </w:p>
    <w:p w14:paraId="5A120233">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6、智能化设定剂量：根据部位自动调整剂量参数。</w:t>
      </w:r>
    </w:p>
    <w:p w14:paraId="667935A8">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7、图像后处理技术：自动调整最佳的图像窗宽窗位。</w:t>
      </w:r>
    </w:p>
    <w:p w14:paraId="4EF09F0C">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8、三向十字红外定位功能。</w:t>
      </w:r>
    </w:p>
    <w:p w14:paraId="44B5E373">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9、无线脚踏开关。</w:t>
      </w:r>
    </w:p>
    <w:p w14:paraId="31F74879">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10、五维电动运动控制。</w:t>
      </w:r>
    </w:p>
    <w:p w14:paraId="63218A5E">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11、机身配备可调式触摸屏控制面板。</w:t>
      </w:r>
    </w:p>
    <w:p w14:paraId="7D7B81B0">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12、低剂量模式。</w:t>
      </w:r>
    </w:p>
    <w:p w14:paraId="62B5ABC9">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13、滤线栅可插拔设计。</w:t>
      </w:r>
    </w:p>
    <w:p w14:paraId="4AD75FD4">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14、提供报名产品彩色外观图，并在图纸中标注产品长、宽、高及其余关键规格尺寸。</w:t>
      </w:r>
    </w:p>
    <w:p w14:paraId="1AE54C79">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15、提交报名产品冗余设计专项说明，内容包括但不限于：电源冗余设计、操作链路冗余设计、机械结构冗余设计、辐射安全冗余设计。无相关设计需明确声明。</w:t>
      </w:r>
    </w:p>
    <w:p w14:paraId="1937DFF0">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16、说明产品是否存在电源功率特殊使用要求；若有，须无偿配套提供电源改造实施方案，并免费完成对应的电源改造施工服务。</w:t>
      </w:r>
    </w:p>
    <w:p w14:paraId="007F182B">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二、商务与服务底线</w:t>
      </w:r>
    </w:p>
    <w:p w14:paraId="1A8869B5">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1.保修：整机全免费保修期不低于5年。</w:t>
      </w:r>
    </w:p>
    <w:p w14:paraId="46561385">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2.服务：报修后1小时内响应，24小时内上门。</w:t>
      </w:r>
    </w:p>
    <w:p w14:paraId="6E6D61B0">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3.报价要求：按设备整机报价比价，提供配套耗材（若有）参考报价。</w:t>
      </w:r>
    </w:p>
    <w:p w14:paraId="2B2F4741">
      <w:pPr>
        <w:pageBreakBefore w:val="0"/>
        <w:kinsoku/>
        <w:overflowPunct/>
        <w:topLinePunct w:val="0"/>
        <w:autoSpaceDE/>
        <w:autoSpaceDN/>
        <w:bidi w:val="0"/>
        <w:adjustRightInd/>
        <w:snapToGrid/>
        <w:spacing w:line="560" w:lineRule="exact"/>
        <w:ind w:left="0" w:leftChars="0"/>
        <w:textAlignment w:val="auto"/>
        <w:rPr>
          <w:rFonts w:hint="default" w:ascii="方正仿宋_GB2312" w:hAnsi="方正仿宋_GB2312" w:eastAsia="方正仿宋_GB2312" w:cs="方正仿宋_GB2312"/>
          <w:sz w:val="28"/>
          <w:szCs w:val="28"/>
          <w:lang w:val="en-US" w:eastAsia="zh-CN"/>
        </w:rPr>
      </w:pPr>
    </w:p>
    <w:p w14:paraId="2C82D5A3">
      <w:pPr>
        <w:pStyle w:val="3"/>
        <w:pageBreakBefore w:val="0"/>
        <w:kinsoku/>
        <w:overflowPunct/>
        <w:topLinePunct w:val="0"/>
        <w:autoSpaceDE/>
        <w:autoSpaceDN/>
        <w:bidi w:val="0"/>
        <w:adjustRightInd/>
        <w:snapToGrid/>
        <w:spacing w:before="0" w:beforeLines="0" w:after="0" w:afterLines="0" w:line="560" w:lineRule="exact"/>
        <w:ind w:left="0" w:leftChars="0"/>
        <w:jc w:val="both"/>
        <w:textAlignment w:val="auto"/>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包3：经颅磁刺激</w:t>
      </w:r>
    </w:p>
    <w:p w14:paraId="50C33BD6">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一、技术核心要求</w:t>
      </w:r>
    </w:p>
    <w:p w14:paraId="71E2B2A8">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1.设备用途：用于人体中枢神经刺激和外周神经刺激，还可用于神经电生理检查。</w:t>
      </w:r>
    </w:p>
    <w:p w14:paraId="3D93F31A">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、康复科神经功能评定和精神科、神经科运动功能评定;可用于脑神经及神经损伤。</w:t>
      </w:r>
    </w:p>
    <w:p w14:paraId="5236504F">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性疾病的辅助治疗；可用于缓解肌肉骨骼疾病引起的疼痛。</w:t>
      </w:r>
    </w:p>
    <w:p w14:paraId="64541330">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2.关键性能</w:t>
      </w:r>
    </w:p>
    <w:p w14:paraId="5CD8AEF3">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（1）刺激主机：单主机双通道，高度集成，非双刺激主机叠加的双通道设备，设备更轻便。具备双人独立治疗功能，可独立调节每位患者的相关参数，如刺激频率、刺激部位、刺激强度、治疗时间、串数等。</w:t>
      </w:r>
    </w:p>
    <w:p w14:paraId="42D69FB3">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（2）刺激模式：具备spTMS (单脉冲刺激)、rTMS(重复脉冲刺激、双拍成对刺激模式、TBS 模式(模式化刺激/爆发刺激)和组合方案等。</w:t>
      </w:r>
    </w:p>
    <w:p w14:paraId="481B299C">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（3）刺激频率：0.01～80Hz可调，其中1Hz以下步长为0.01Hz,1Hz以上步长为1Hz,可实现超低频刺激。</w:t>
      </w:r>
    </w:p>
    <w:p w14:paraId="421A0CE9">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（4）刺激主机脉冲频率允差：≤±1%,频率允差越小，刺激频率越稳定。</w:t>
      </w:r>
    </w:p>
    <w:p w14:paraId="699B2E4A">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（5）刺激主机电容：支持≧1亿脉冲输出，或电容寿命≧10年，电容使用时间长短决定设备实际使用寿命。</w:t>
      </w:r>
    </w:p>
    <w:p w14:paraId="7C97B581">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（6）最大磁感应强度：6T，磁场强度范围0-6T。</w:t>
      </w:r>
    </w:p>
    <w:p w14:paraId="18CC832C">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（7）脉冲上升时间：50±10μs(40-60us)。</w:t>
      </w:r>
    </w:p>
    <w:p w14:paraId="49F73097">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（8）脉冲持续时间：320μs~340μs(340±20us)。</w:t>
      </w:r>
    </w:p>
    <w:p w14:paraId="4F00CD82">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（9）磁感应强度最大变化率范围：33KT/S~90KT/S (设备最大支持磁感应强度≥90KT/S),磁场强度允差：±5%,磁场强度允差越小，输出强度越稳定。</w:t>
      </w:r>
    </w:p>
    <w:p w14:paraId="4E713691">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（10）在设备连续工作时，具有手动停止磁场输出功能，可以通过按下停止按键使设备立即停止工作。</w:t>
      </w:r>
    </w:p>
    <w:p w14:paraId="10B9D514">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（11）混冷技术：风冷+液冷双重制冷技术，支持仪器24小时持续输出。</w:t>
      </w:r>
    </w:p>
    <w:p w14:paraId="0C719794">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（12）冷却系统与刺激主机分体式设计，确保电液分离，无漏液风险，同时便于后期维护。</w:t>
      </w:r>
    </w:p>
    <w:p w14:paraId="4EDA087B">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（13）冷却系统可以实时显示刺激线圈温度，当刺激线圈温度超过40℃,设备自动停止刺激输出。</w:t>
      </w:r>
    </w:p>
    <w:p w14:paraId="1FC2FE93">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（14）标配一个蝶形线圈和一个圆形线圈。</w:t>
      </w:r>
    </w:p>
    <w:p w14:paraId="1974807B">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（15）刺激线圈上具有强度调节按键与触发刺激按键，可调节刺激强度和触发刺激。</w:t>
      </w:r>
    </w:p>
    <w:p w14:paraId="47F9A76F">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（16）刺激线圈具有显示屏，可实时显示线圈温度、强度、磁场上升率和脉冲总数。</w:t>
      </w:r>
    </w:p>
    <w:p w14:paraId="4F6119F2">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（17）线圈支持一键热插拔，无需排液，可直接快速更换线圈，方便临床快速更换线圈。</w:t>
      </w:r>
    </w:p>
    <w:p w14:paraId="55E8CD62">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（18）运动诱发电位模块具有有线和无线2种采集模式，给临床老师多种选择模式。</w:t>
      </w:r>
    </w:p>
    <w:p w14:paraId="5BB28CA6">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（19）当运动诱发电位检查模块为无线传输时，MEP模块配备独立电池，可充电使用，方便临床老师隔空便携操作。并且配有电源显示灯，可提示电池是否正常供电。</w:t>
      </w:r>
    </w:p>
    <w:p w14:paraId="7F7129EC">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（20）采用触屏一体机承载软件系统，非笔记本电脑，无移动无掉落风险。</w:t>
      </w:r>
    </w:p>
    <w:p w14:paraId="6C00E519">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（21）双通道设备具有锁时关系，可进行不同频率双拍成对刺激治疗使用。</w:t>
      </w:r>
    </w:p>
    <w:p w14:paraId="3148AE7C">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 xml:space="preserve">3.模块与线圈配置（标配全套） </w:t>
      </w:r>
    </w:p>
    <w:p w14:paraId="6714C64A">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（1）磁刺激仪主机； （2）独立磁刺激散热主机； （3）多规格刺激线圈全套：蝶形线圈、圆形线圈； （4）运动诱发电位监测模块； （5）触屏一体机； （6）移动式设备推车； （7）10-20 脑定位帽 2 套；</w:t>
      </w:r>
    </w:p>
    <w:p w14:paraId="15DA4951">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二、商务与服务底线</w:t>
      </w:r>
    </w:p>
    <w:p w14:paraId="4C645B56">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1.保修：整机全免费保修期不低于3年。</w:t>
      </w:r>
    </w:p>
    <w:p w14:paraId="63A0F8BA">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2.服务：报修后2小时内响应，24小时内上门。</w:t>
      </w:r>
    </w:p>
    <w:p w14:paraId="1380A566">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3.报价要求：按设备整机报价比价，同步提供配套耗材（若有）参考报价。</w:t>
      </w:r>
    </w:p>
    <w:p w14:paraId="52ECE2E0">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p>
    <w:p w14:paraId="4B923DE8">
      <w:pPr>
        <w:pStyle w:val="3"/>
        <w:pageBreakBefore w:val="0"/>
        <w:kinsoku/>
        <w:overflowPunct/>
        <w:topLinePunct w:val="0"/>
        <w:autoSpaceDE/>
        <w:autoSpaceDN/>
        <w:bidi w:val="0"/>
        <w:adjustRightInd/>
        <w:snapToGrid/>
        <w:spacing w:before="0" w:beforeLines="0" w:after="0" w:afterLines="0" w:line="560" w:lineRule="exact"/>
        <w:ind w:left="0" w:leftChars="0"/>
        <w:jc w:val="both"/>
        <w:textAlignment w:val="auto"/>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包4：经颅刺激神经导航定位仪</w:t>
      </w:r>
    </w:p>
    <w:p w14:paraId="2980551D">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一、技术核心要求</w:t>
      </w:r>
    </w:p>
    <w:p w14:paraId="4705F53C">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1.设备用途：采用红外光学导航，具备利用磁共振结构影像实现将经颅磁线圈及刺激靶点精确定位功能，实现经颅磁刺激过程可视化。</w:t>
      </w:r>
    </w:p>
    <w:p w14:paraId="5F1830FA">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2.关键性能：</w:t>
      </w:r>
    </w:p>
    <w:p w14:paraId="667FEA6E">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（1）高精度光学导航：采用国产红外双目相机，通过基于主动式双目相机的点云和强反光目标实时定位方法，定位精度＜1mm；支持点云自动配准，无需传统标记注册。</w:t>
      </w:r>
    </w:p>
    <w:p w14:paraId="0A81E79D">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2）智能靶点规划：内置M1、DLPFC、TPJ、A1等靶点一键自动搜索，支持MNI坐标定位；适配双锥线圈实现皮层下核团定位；通过深度摄像头人脸识别算法获取、计算患者真实物理世界的三维坐标，并与磁共振重构三维图形进行坐标系配准。</w:t>
      </w:r>
    </w:p>
    <w:p w14:paraId="6BDA7C14">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（3）个性化影像处理：具备导入DICOM/NIfTI数据，支持三维重建、个性化脑分区及标准脑配准，基于实现精准靶区标记。</w:t>
      </w:r>
    </w:p>
    <w:p w14:paraId="5CBADDE5">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（4）实时追踪与可视化：能根据实时检测患者的头动状况，并同步显示到计算机模拟的三维坐标系中，并实时计算治疗过程中的位置偏移量，全程可视化；结合深度摄像头实时追踪病人头部和TMS 靶点的相对位置，并在三维场景中实时刷新显示，实现靶区导航的精准定位。</w:t>
      </w:r>
    </w:p>
    <w:p w14:paraId="028FF3CE">
      <w:pPr>
        <w:pageBreakBefore w:val="0"/>
        <w:widowControl w:val="0"/>
        <w:kinsoku/>
        <w:overflowPunct/>
        <w:topLinePunct w:val="0"/>
        <w:autoSpaceDE/>
        <w:autoSpaceDN/>
        <w:bidi w:val="0"/>
        <w:adjustRightInd/>
        <w:snapToGrid/>
        <w:spacing w:line="560" w:lineRule="exact"/>
        <w:jc w:val="both"/>
        <w:textAlignment w:val="auto"/>
        <w:rPr>
          <w:rFonts w:hint="default"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（5）可升级扩展：算法有文献支撑；可升级至功能连接/局域功能报告及神经调控靶点计算功能；可匹配经颅磁双锥线圈，实现大脑皮层下核团功能区定位；后续可升级实现低强度经颅聚焦超声导航的功能。</w:t>
      </w:r>
    </w:p>
    <w:p w14:paraId="6F591298">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xml:space="preserve">3.模块与配置（标配全套） </w:t>
      </w:r>
    </w:p>
    <w:tbl>
      <w:tblPr>
        <w:tblStyle w:val="11"/>
        <w:tblW w:w="25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2759"/>
        <w:gridCol w:w="1075"/>
      </w:tblGrid>
      <w:tr w14:paraId="5970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58" w:type="pct"/>
            <w:vAlign w:val="center"/>
          </w:tcPr>
          <w:p w14:paraId="54ACA1F9">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序号</w:t>
            </w:r>
          </w:p>
        </w:tc>
        <w:tc>
          <w:tcPr>
            <w:tcW w:w="2908" w:type="pct"/>
            <w:vAlign w:val="center"/>
          </w:tcPr>
          <w:p w14:paraId="76879725">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名称</w:t>
            </w:r>
          </w:p>
        </w:tc>
        <w:tc>
          <w:tcPr>
            <w:tcW w:w="1133" w:type="pct"/>
            <w:vAlign w:val="center"/>
          </w:tcPr>
          <w:p w14:paraId="6425B7CE">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数量</w:t>
            </w:r>
          </w:p>
        </w:tc>
      </w:tr>
      <w:tr w14:paraId="52AE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58" w:type="pct"/>
            <w:vAlign w:val="center"/>
          </w:tcPr>
          <w:p w14:paraId="6854211C">
            <w:pPr>
              <w:keepNext w:val="0"/>
              <w:keepLines w:val="0"/>
              <w:pageBreakBefore w:val="0"/>
              <w:widowControl w:val="0"/>
              <w:numPr>
                <w:ilvl w:val="0"/>
                <w:numId w:val="1"/>
              </w:numPr>
              <w:kinsoku/>
              <w:wordWrap/>
              <w:overflowPunct/>
              <w:topLinePunct w:val="0"/>
              <w:autoSpaceDE/>
              <w:autoSpaceDN/>
              <w:bidi w:val="0"/>
              <w:adjustRightInd/>
              <w:snapToGrid/>
              <w:spacing w:after="0" w:line="400" w:lineRule="exact"/>
              <w:ind w:left="425" w:leftChars="0" w:hanging="425" w:firstLineChars="0"/>
              <w:jc w:val="center"/>
              <w:textAlignment w:val="auto"/>
              <w:rPr>
                <w:rFonts w:hint="eastAsia" w:ascii="方正仿宋_GB2312" w:hAnsi="方正仿宋_GB2312" w:eastAsia="方正仿宋_GB2312" w:cs="方正仿宋_GB2312"/>
                <w:sz w:val="28"/>
                <w:szCs w:val="28"/>
                <w:vertAlign w:val="baseline"/>
                <w:lang w:val="en-US" w:eastAsia="zh-CN"/>
              </w:rPr>
            </w:pPr>
          </w:p>
        </w:tc>
        <w:tc>
          <w:tcPr>
            <w:tcW w:w="2908" w:type="pct"/>
            <w:vAlign w:val="center"/>
          </w:tcPr>
          <w:p w14:paraId="2E99436A">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光学神经导航软件</w:t>
            </w:r>
          </w:p>
        </w:tc>
        <w:tc>
          <w:tcPr>
            <w:tcW w:w="1133" w:type="pct"/>
            <w:vAlign w:val="center"/>
          </w:tcPr>
          <w:p w14:paraId="3A5CA0C9">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1套</w:t>
            </w:r>
          </w:p>
        </w:tc>
      </w:tr>
      <w:tr w14:paraId="5909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58" w:type="pct"/>
            <w:vAlign w:val="center"/>
          </w:tcPr>
          <w:p w14:paraId="7448903A">
            <w:pPr>
              <w:keepNext w:val="0"/>
              <w:keepLines w:val="0"/>
              <w:pageBreakBefore w:val="0"/>
              <w:widowControl w:val="0"/>
              <w:numPr>
                <w:ilvl w:val="0"/>
                <w:numId w:val="1"/>
              </w:numPr>
              <w:kinsoku/>
              <w:wordWrap/>
              <w:overflowPunct/>
              <w:topLinePunct w:val="0"/>
              <w:autoSpaceDE/>
              <w:autoSpaceDN/>
              <w:bidi w:val="0"/>
              <w:adjustRightInd/>
              <w:snapToGrid/>
              <w:spacing w:after="0" w:line="400" w:lineRule="exact"/>
              <w:ind w:left="425" w:leftChars="0" w:hanging="425" w:firstLineChars="0"/>
              <w:jc w:val="center"/>
              <w:textAlignment w:val="auto"/>
              <w:rPr>
                <w:rFonts w:hint="eastAsia" w:ascii="方正仿宋_GB2312" w:hAnsi="方正仿宋_GB2312" w:eastAsia="方正仿宋_GB2312" w:cs="方正仿宋_GB2312"/>
                <w:sz w:val="28"/>
                <w:szCs w:val="28"/>
                <w:vertAlign w:val="baseline"/>
                <w:lang w:val="en-US" w:eastAsia="zh-CN"/>
              </w:rPr>
            </w:pPr>
          </w:p>
        </w:tc>
        <w:tc>
          <w:tcPr>
            <w:tcW w:w="2908" w:type="pct"/>
            <w:vAlign w:val="center"/>
          </w:tcPr>
          <w:p w14:paraId="23554E8C">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光学摄像头</w:t>
            </w:r>
          </w:p>
        </w:tc>
        <w:tc>
          <w:tcPr>
            <w:tcW w:w="1133" w:type="pct"/>
            <w:vAlign w:val="center"/>
          </w:tcPr>
          <w:p w14:paraId="1B94DD04">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1套</w:t>
            </w:r>
          </w:p>
        </w:tc>
      </w:tr>
      <w:tr w14:paraId="789D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58" w:type="pct"/>
            <w:vAlign w:val="center"/>
          </w:tcPr>
          <w:p w14:paraId="4EAE6742">
            <w:pPr>
              <w:keepNext w:val="0"/>
              <w:keepLines w:val="0"/>
              <w:pageBreakBefore w:val="0"/>
              <w:widowControl w:val="0"/>
              <w:numPr>
                <w:ilvl w:val="0"/>
                <w:numId w:val="1"/>
              </w:numPr>
              <w:kinsoku/>
              <w:wordWrap/>
              <w:overflowPunct/>
              <w:topLinePunct w:val="0"/>
              <w:autoSpaceDE/>
              <w:autoSpaceDN/>
              <w:bidi w:val="0"/>
              <w:adjustRightInd/>
              <w:snapToGrid/>
              <w:spacing w:after="0" w:line="400" w:lineRule="exact"/>
              <w:ind w:left="425" w:leftChars="0" w:hanging="425" w:firstLineChars="0"/>
              <w:jc w:val="center"/>
              <w:textAlignment w:val="auto"/>
              <w:rPr>
                <w:rFonts w:hint="eastAsia" w:ascii="方正仿宋_GB2312" w:hAnsi="方正仿宋_GB2312" w:eastAsia="方正仿宋_GB2312" w:cs="方正仿宋_GB2312"/>
                <w:sz w:val="28"/>
                <w:szCs w:val="28"/>
                <w:vertAlign w:val="baseline"/>
                <w:lang w:val="en-US" w:eastAsia="zh-CN"/>
              </w:rPr>
            </w:pPr>
          </w:p>
        </w:tc>
        <w:tc>
          <w:tcPr>
            <w:tcW w:w="2908" w:type="pct"/>
            <w:vAlign w:val="center"/>
          </w:tcPr>
          <w:p w14:paraId="3A69A637">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光学示踪器</w:t>
            </w:r>
          </w:p>
        </w:tc>
        <w:tc>
          <w:tcPr>
            <w:tcW w:w="1133" w:type="pct"/>
            <w:vAlign w:val="center"/>
          </w:tcPr>
          <w:p w14:paraId="6B20DBFB">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1个</w:t>
            </w:r>
          </w:p>
        </w:tc>
      </w:tr>
      <w:tr w14:paraId="6A6A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58" w:type="pct"/>
            <w:vAlign w:val="center"/>
          </w:tcPr>
          <w:p w14:paraId="5F9E53D7">
            <w:pPr>
              <w:keepNext w:val="0"/>
              <w:keepLines w:val="0"/>
              <w:pageBreakBefore w:val="0"/>
              <w:widowControl w:val="0"/>
              <w:numPr>
                <w:ilvl w:val="0"/>
                <w:numId w:val="1"/>
              </w:numPr>
              <w:kinsoku/>
              <w:wordWrap/>
              <w:overflowPunct/>
              <w:topLinePunct w:val="0"/>
              <w:autoSpaceDE/>
              <w:autoSpaceDN/>
              <w:bidi w:val="0"/>
              <w:adjustRightInd/>
              <w:snapToGrid/>
              <w:spacing w:after="0" w:line="400" w:lineRule="exact"/>
              <w:ind w:left="425" w:leftChars="0" w:hanging="425" w:firstLineChars="0"/>
              <w:jc w:val="center"/>
              <w:textAlignment w:val="auto"/>
              <w:rPr>
                <w:rFonts w:hint="eastAsia" w:ascii="方正仿宋_GB2312" w:hAnsi="方正仿宋_GB2312" w:eastAsia="方正仿宋_GB2312" w:cs="方正仿宋_GB2312"/>
                <w:sz w:val="28"/>
                <w:szCs w:val="28"/>
                <w:vertAlign w:val="baseline"/>
                <w:lang w:val="en-US" w:eastAsia="zh-CN"/>
              </w:rPr>
            </w:pPr>
          </w:p>
        </w:tc>
        <w:tc>
          <w:tcPr>
            <w:tcW w:w="2908" w:type="pct"/>
            <w:vAlign w:val="center"/>
          </w:tcPr>
          <w:p w14:paraId="2E4EC136">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电脑</w:t>
            </w:r>
          </w:p>
        </w:tc>
        <w:tc>
          <w:tcPr>
            <w:tcW w:w="1133" w:type="pct"/>
            <w:vAlign w:val="center"/>
          </w:tcPr>
          <w:p w14:paraId="4587CA0F">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1台</w:t>
            </w:r>
          </w:p>
        </w:tc>
      </w:tr>
      <w:tr w14:paraId="1FC5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58" w:type="pct"/>
            <w:vAlign w:val="center"/>
          </w:tcPr>
          <w:p w14:paraId="679A4137">
            <w:pPr>
              <w:keepNext w:val="0"/>
              <w:keepLines w:val="0"/>
              <w:pageBreakBefore w:val="0"/>
              <w:widowControl w:val="0"/>
              <w:numPr>
                <w:ilvl w:val="0"/>
                <w:numId w:val="1"/>
              </w:numPr>
              <w:kinsoku/>
              <w:wordWrap/>
              <w:overflowPunct/>
              <w:topLinePunct w:val="0"/>
              <w:autoSpaceDE/>
              <w:autoSpaceDN/>
              <w:bidi w:val="0"/>
              <w:adjustRightInd/>
              <w:snapToGrid/>
              <w:spacing w:after="0" w:line="400" w:lineRule="exact"/>
              <w:ind w:left="425" w:leftChars="0" w:hanging="425" w:firstLineChars="0"/>
              <w:jc w:val="center"/>
              <w:textAlignment w:val="auto"/>
              <w:rPr>
                <w:rFonts w:hint="eastAsia" w:ascii="方正仿宋_GB2312" w:hAnsi="方正仿宋_GB2312" w:eastAsia="方正仿宋_GB2312" w:cs="方正仿宋_GB2312"/>
                <w:sz w:val="28"/>
                <w:szCs w:val="28"/>
                <w:vertAlign w:val="baseline"/>
                <w:lang w:val="en-US" w:eastAsia="zh-CN"/>
              </w:rPr>
            </w:pPr>
          </w:p>
        </w:tc>
        <w:tc>
          <w:tcPr>
            <w:tcW w:w="2908" w:type="pct"/>
            <w:vAlign w:val="center"/>
          </w:tcPr>
          <w:p w14:paraId="40F0D2D8">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导航推车</w:t>
            </w:r>
          </w:p>
        </w:tc>
        <w:tc>
          <w:tcPr>
            <w:tcW w:w="1133" w:type="pct"/>
            <w:vAlign w:val="center"/>
          </w:tcPr>
          <w:p w14:paraId="5318D8A1">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1个</w:t>
            </w:r>
          </w:p>
        </w:tc>
      </w:tr>
    </w:tbl>
    <w:p w14:paraId="38C47176">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二、商务与服务底线</w:t>
      </w:r>
    </w:p>
    <w:p w14:paraId="0864505F">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1.保修：整机全免费保修期不低于3年。</w:t>
      </w:r>
    </w:p>
    <w:p w14:paraId="77C4C363">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2.服务：报修后2小时内响应，24小时内上门。</w:t>
      </w:r>
    </w:p>
    <w:p w14:paraId="5975BDA2">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3.报价要求：按设备整机报价比价，同步提供配套耗材（若有）参考报价。</w:t>
      </w:r>
    </w:p>
    <w:p w14:paraId="3C91AF33">
      <w:pPr>
        <w:pageBreakBefore w:val="0"/>
        <w:kinsoku/>
        <w:overflowPunct/>
        <w:topLinePunct w:val="0"/>
        <w:autoSpaceDE/>
        <w:autoSpaceDN/>
        <w:bidi w:val="0"/>
        <w:adjustRightInd/>
        <w:snapToGrid/>
        <w:spacing w:line="560" w:lineRule="exact"/>
        <w:ind w:left="0" w:leftChars="0"/>
        <w:textAlignment w:val="auto"/>
        <w:rPr>
          <w:rFonts w:hint="eastAsia" w:ascii="方正仿宋_GB2312" w:hAnsi="方正仿宋_GB2312" w:eastAsia="方正仿宋_GB2312" w:cs="方正仿宋_GB2312"/>
          <w:sz w:val="28"/>
          <w:szCs w:val="28"/>
          <w:lang w:val="en-US" w:eastAsia="zh-CN"/>
        </w:rPr>
      </w:pPr>
    </w:p>
    <w:p w14:paraId="5858E516">
      <w:pPr>
        <w:pStyle w:val="3"/>
        <w:pageBreakBefore w:val="0"/>
        <w:kinsoku/>
        <w:overflowPunct/>
        <w:topLinePunct w:val="0"/>
        <w:autoSpaceDE/>
        <w:autoSpaceDN/>
        <w:bidi w:val="0"/>
        <w:adjustRightInd/>
        <w:snapToGrid/>
        <w:spacing w:before="0" w:beforeLines="0" w:after="0" w:afterLines="0" w:line="560" w:lineRule="exact"/>
        <w:ind w:left="0" w:leftChars="0"/>
        <w:jc w:val="both"/>
        <w:textAlignment w:val="auto"/>
        <w:rPr>
          <w:rFonts w:hint="default" w:ascii="宋体" w:hAnsi="宋体" w:eastAsia="宋体" w:cs="宋体"/>
          <w:b/>
          <w:i w:val="0"/>
          <w:iCs w:val="0"/>
          <w:color w:val="000000"/>
          <w:kern w:val="0"/>
          <w:sz w:val="28"/>
          <w:szCs w:val="28"/>
          <w:u w:val="none"/>
          <w:lang w:val="en-US" w:eastAsia="zh-CN" w:bidi="ar"/>
        </w:rPr>
      </w:pPr>
      <w:r>
        <w:rPr>
          <w:rFonts w:hint="eastAsia" w:ascii="宋体" w:hAnsi="宋体" w:eastAsia="宋体" w:cs="宋体"/>
          <w:b/>
          <w:i w:val="0"/>
          <w:iCs w:val="0"/>
          <w:color w:val="000000"/>
          <w:kern w:val="0"/>
          <w:sz w:val="28"/>
          <w:szCs w:val="28"/>
          <w:u w:val="none"/>
          <w:lang w:val="en-US" w:eastAsia="zh-CN" w:bidi="ar"/>
        </w:rPr>
        <w:t>包5：脑电采集分析仪</w:t>
      </w:r>
    </w:p>
    <w:p w14:paraId="1F5FDC8B">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一、技术核心要求</w:t>
      </w:r>
    </w:p>
    <w:p w14:paraId="79EFF73B">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1、设备用途：在医生指导下，通过采集人体电生理信影对心理、行为、认知、注意力进行生物反馈训练，用于神经衰弱、失眠、习惯性抽动、更年期综合征大脑功能性疾病的辅助治疗。</w:t>
      </w:r>
    </w:p>
    <w:p w14:paraId="45C7FCE4">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2、关键性能</w:t>
      </w:r>
    </w:p>
    <w:p w14:paraId="7B44961D">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（1）脑电采样率：250hz-16khz。</w:t>
      </w:r>
    </w:p>
    <w:p w14:paraId="7166D494">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（2）采集通道：通道数≤4。</w:t>
      </w:r>
    </w:p>
    <w:p w14:paraId="45E15ABE">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（3）脑电分辨率：≤4μV。</w:t>
      </w:r>
    </w:p>
    <w:p w14:paraId="25BD9DAD">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（4）输入范围:测量范围1μV-5000μV(峰谷值)。</w:t>
      </w:r>
    </w:p>
    <w:p w14:paraId="0BA41312">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（5）脑电噪声电平：≤lμV。</w:t>
      </w:r>
    </w:p>
    <w:p w14:paraId="09C71334">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（6）脑电采样位数：24bit。</w:t>
      </w:r>
    </w:p>
    <w:p w14:paraId="20F8A2E4">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（7）标配Au电极传感器，输入阻抗≥5MΩ。</w:t>
      </w:r>
    </w:p>
    <w:p w14:paraId="0654D385">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（8）时间间隔：误差不超过+5%。</w:t>
      </w:r>
    </w:p>
    <w:p w14:paraId="406F8477">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（9）配备穿戴式干式梳状电极，满足无线充电。</w:t>
      </w:r>
    </w:p>
    <w:p w14:paraId="0CA0C33D">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（10）包含个体运动想象评估报告和个体α频率评估报告。</w:t>
      </w:r>
    </w:p>
    <w:p w14:paraId="0732FA9F">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（11）采集器与患者接触的材料生物相容性相关检测需符合标准要求，患者使用安全。</w:t>
      </w:r>
    </w:p>
    <w:p w14:paraId="61451036">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（12）肌电噪声电平：≤lμV。</w:t>
      </w:r>
    </w:p>
    <w:p w14:paraId="6C491F9C">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（13）共模抑制比≥100dB</w:t>
      </w:r>
    </w:p>
    <w:p w14:paraId="5B7E77A3">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（14）肌电测量范围:测量范围1μV-5000μV(有效值)。</w:t>
      </w:r>
    </w:p>
    <w:p w14:paraId="3E8A826A">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（15）肌电分辨率:&lt;02μV</w:t>
      </w:r>
      <w:r>
        <w:rPr>
          <w:rFonts w:hint="eastAsia" w:ascii="方正仿宋_GB2312" w:hAnsi="方正仿宋_GB2312" w:eastAsia="方正仿宋_GB2312" w:cs="方正仿宋_GB2312"/>
          <w:kern w:val="2"/>
          <w:sz w:val="28"/>
          <w:szCs w:val="28"/>
          <w:lang w:val="en-US" w:eastAsia="zh" w:bidi="ar-SA"/>
        </w:rPr>
        <w:tab/>
      </w:r>
    </w:p>
    <w:p w14:paraId="6084C624">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（16）可以和同品牌经颅磁级联,组成脑机接口经颅磁。</w:t>
      </w:r>
    </w:p>
    <w:p w14:paraId="2B190805">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 xml:space="preserve">3、模块与配置（标配全套） </w:t>
      </w:r>
    </w:p>
    <w:p w14:paraId="7373D433">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（1）EMG传感器</w:t>
      </w:r>
    </w:p>
    <w:p w14:paraId="6FF2E69C">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（2）BVP传感器</w:t>
      </w:r>
    </w:p>
    <w:p w14:paraId="07B805A6">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（3）EEG传感器</w:t>
      </w:r>
    </w:p>
    <w:p w14:paraId="371F45BA">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（4）充电器</w:t>
      </w:r>
    </w:p>
    <w:p w14:paraId="7A15514A">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（5）支架组件</w:t>
      </w:r>
    </w:p>
    <w:p w14:paraId="26D3F151">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（6）显示器</w:t>
      </w:r>
    </w:p>
    <w:p w14:paraId="3D824ED4">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（7）充电线套装</w:t>
      </w:r>
    </w:p>
    <w:p w14:paraId="7CE92776">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（8）多参数生物反馈仪软件</w:t>
      </w:r>
    </w:p>
    <w:p w14:paraId="24F5F0DC">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（9）原厂操作手册、出厂合格证、培训验收资料。</w:t>
      </w:r>
    </w:p>
    <w:p w14:paraId="11C096F4">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二、商务与服务底线</w:t>
      </w:r>
    </w:p>
    <w:p w14:paraId="5DFD71D8">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1.保修：整机全免费保修期不低于3年。</w:t>
      </w:r>
    </w:p>
    <w:p w14:paraId="043E03BE">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 w:bidi="ar-SA"/>
        </w:rPr>
      </w:pPr>
      <w:r>
        <w:rPr>
          <w:rFonts w:hint="eastAsia" w:ascii="方正仿宋_GB2312" w:hAnsi="方正仿宋_GB2312" w:eastAsia="方正仿宋_GB2312" w:cs="方正仿宋_GB2312"/>
          <w:kern w:val="2"/>
          <w:sz w:val="28"/>
          <w:szCs w:val="28"/>
          <w:lang w:val="en-US" w:eastAsia="zh" w:bidi="ar-SA"/>
        </w:rPr>
        <w:t>2.服务：报修后2小时内响应，24小时内上门。</w:t>
      </w:r>
    </w:p>
    <w:p w14:paraId="68DD4C1E">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 w:bidi="ar-SA"/>
        </w:rPr>
        <w:t>3.报价要求：按设备整机报价比价，同步提供配套耗材（若有）参考报价。</w:t>
      </w:r>
    </w:p>
    <w:p w14:paraId="5C4D002E">
      <w:pPr>
        <w:pageBreakBefore w:val="0"/>
        <w:widowControl w:val="0"/>
        <w:kinsoku/>
        <w:overflowPunct/>
        <w:topLinePunct w:val="0"/>
        <w:autoSpaceDE/>
        <w:autoSpaceDN/>
        <w:bidi w:val="0"/>
        <w:adjustRightInd/>
        <w:snapToGrid/>
        <w:spacing w:line="560" w:lineRule="exact"/>
        <w:jc w:val="both"/>
        <w:textAlignment w:val="auto"/>
        <w:rPr>
          <w:rFonts w:hint="default" w:ascii="方正仿宋_GB2312" w:hAnsi="方正仿宋_GB2312" w:eastAsia="方正仿宋_GB2312" w:cs="方正仿宋_GB2312"/>
          <w:kern w:val="2"/>
          <w:sz w:val="28"/>
          <w:szCs w:val="28"/>
          <w:lang w:val="en-US" w:eastAsia="zh-CN" w:bidi="ar-SA"/>
        </w:rPr>
      </w:pPr>
    </w:p>
    <w:p w14:paraId="4DDB5535">
      <w:pPr>
        <w:pStyle w:val="3"/>
        <w:pageBreakBefore w:val="0"/>
        <w:kinsoku/>
        <w:overflowPunct/>
        <w:topLinePunct w:val="0"/>
        <w:autoSpaceDE/>
        <w:autoSpaceDN/>
        <w:bidi w:val="0"/>
        <w:adjustRightInd/>
        <w:snapToGrid/>
        <w:spacing w:before="0" w:beforeLines="0" w:after="0" w:afterLines="0" w:line="560" w:lineRule="exact"/>
        <w:ind w:left="0" w:leftChars="0"/>
        <w:jc w:val="both"/>
        <w:textAlignment w:val="auto"/>
        <w:rPr>
          <w:rFonts w:hint="default" w:ascii="宋体" w:hAnsi="宋体" w:eastAsia="宋体" w:cs="宋体"/>
          <w:b/>
          <w:i w:val="0"/>
          <w:iCs w:val="0"/>
          <w:color w:val="000000"/>
          <w:kern w:val="0"/>
          <w:sz w:val="28"/>
          <w:szCs w:val="28"/>
          <w:u w:val="none"/>
          <w:lang w:val="en-US" w:eastAsia="zh-CN" w:bidi="ar"/>
        </w:rPr>
      </w:pPr>
      <w:r>
        <w:rPr>
          <w:rFonts w:hint="eastAsia" w:ascii="宋体" w:hAnsi="宋体" w:eastAsia="宋体" w:cs="宋体"/>
          <w:b/>
          <w:i w:val="0"/>
          <w:iCs w:val="0"/>
          <w:color w:val="000000"/>
          <w:kern w:val="0"/>
          <w:sz w:val="28"/>
          <w:szCs w:val="28"/>
          <w:u w:val="none"/>
          <w:lang w:val="en-US" w:eastAsia="zh-CN" w:bidi="ar"/>
        </w:rPr>
        <w:t>包6：BCI脑电图机</w:t>
      </w:r>
    </w:p>
    <w:p w14:paraId="0DADBAE6">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一、技术核心要求</w:t>
      </w:r>
    </w:p>
    <w:p w14:paraId="08C8E56A">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1.设备用途：采集与分析脑电信号，对运动想象诱发的脑电振荡采用不少于5种算法模型进行实时特征解码，并输出控制信号。</w:t>
      </w:r>
    </w:p>
    <w:p w14:paraId="62351E10">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2.关键性能</w:t>
      </w:r>
    </w:p>
    <w:p w14:paraId="23866963">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（1）硬件放大器：直流 DC 脑电放大器，标配 30 路记录电极通道、2 路参考电极、1 路 GND 接地通道；分辨率≥24bit ；最大采样率≥50KHz/通道，21通道同步采集脑电信号时采样率≥10KHz/通道。</w:t>
      </w:r>
    </w:p>
    <w:p w14:paraId="62ABD72E">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xml:space="preserve">（2）抗干扰指标：共模抑制比≥110dB，输入阻抗≥10MOhm，保障脑电信号采集精度与抗干扰能力。 </w:t>
      </w:r>
    </w:p>
    <w:p w14:paraId="22D81B6B">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xml:space="preserve">（3）事件同步接口：9 路事件输入、1 路事件输出，支持 255 组外部事件标记，可对接经颅磁、闪光刺激、康复机器人、肌电图同步触发记录。 </w:t>
      </w:r>
    </w:p>
    <w:p w14:paraId="19861117">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xml:space="preserve">（4）运动想象解码：内置 α/β1、α/θ、α index、CDa1、CDa2 共 5 种专业算法，均可实时解码运动想象诱发的脑电振荡特征。 </w:t>
      </w:r>
    </w:p>
    <w:p w14:paraId="276D295E">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xml:space="preserve">（5）多模态可视化：实时同步显示原始脑电图、动态脑地形图、α 峰功率谱离散地形图，支持波形倍速回放、定点标记、幅值 / 时间精准测量。 </w:t>
      </w:r>
    </w:p>
    <w:p w14:paraId="5C61FEE0">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（6）报告分析功能：搭载独立成分分析 / ICA 功能，可同屏显示脑电伪差、原始脑电图及 ICA 后无伪差脑电图；支持自动识别与处理脑电伪差，并可人工校正。</w:t>
      </w:r>
    </w:p>
    <w:p w14:paraId="6F16BD39">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xml:space="preserve">（7）拓展兼容：可对接医院 HIS、LIS 系统；兼容经颅磁、诱发电位、肢体康复外骨骼等第三方设备。 </w:t>
      </w:r>
    </w:p>
    <w:p w14:paraId="514AE87C">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xml:space="preserve">3.模块与配置（标配全套）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6"/>
        <w:gridCol w:w="3649"/>
        <w:gridCol w:w="901"/>
        <w:gridCol w:w="934"/>
      </w:tblGrid>
      <w:tr w14:paraId="6C799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 w:type="dxa"/>
            <w:vAlign w:val="center"/>
          </w:tcPr>
          <w:p w14:paraId="7CB1E0E2">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序号</w:t>
            </w:r>
          </w:p>
        </w:tc>
        <w:tc>
          <w:tcPr>
            <w:tcW w:w="3649" w:type="dxa"/>
            <w:vAlign w:val="center"/>
          </w:tcPr>
          <w:p w14:paraId="4E07659B">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产品名称</w:t>
            </w:r>
          </w:p>
        </w:tc>
        <w:tc>
          <w:tcPr>
            <w:tcW w:w="901" w:type="dxa"/>
            <w:vAlign w:val="center"/>
          </w:tcPr>
          <w:p w14:paraId="4F621A80">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数量</w:t>
            </w:r>
          </w:p>
        </w:tc>
        <w:tc>
          <w:tcPr>
            <w:tcW w:w="934" w:type="dxa"/>
            <w:vAlign w:val="center"/>
          </w:tcPr>
          <w:p w14:paraId="0D4FB7DC">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单位</w:t>
            </w:r>
          </w:p>
        </w:tc>
      </w:tr>
      <w:tr w14:paraId="0C0D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 w:type="dxa"/>
            <w:vAlign w:val="center"/>
          </w:tcPr>
          <w:p w14:paraId="784B9F49">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c>
          <w:tcPr>
            <w:tcW w:w="3649" w:type="dxa"/>
            <w:vAlign w:val="center"/>
          </w:tcPr>
          <w:p w14:paraId="3E7558DB">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直流供电DC脑电放大器</w:t>
            </w:r>
          </w:p>
        </w:tc>
        <w:tc>
          <w:tcPr>
            <w:tcW w:w="901" w:type="dxa"/>
            <w:vAlign w:val="center"/>
          </w:tcPr>
          <w:p w14:paraId="3F201912">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c>
          <w:tcPr>
            <w:tcW w:w="934" w:type="dxa"/>
            <w:vAlign w:val="center"/>
          </w:tcPr>
          <w:p w14:paraId="6C86FC74">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个</w:t>
            </w:r>
          </w:p>
        </w:tc>
      </w:tr>
      <w:tr w14:paraId="5927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 w:type="dxa"/>
            <w:vAlign w:val="center"/>
          </w:tcPr>
          <w:p w14:paraId="0DA15D3D">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2</w:t>
            </w:r>
          </w:p>
        </w:tc>
        <w:tc>
          <w:tcPr>
            <w:tcW w:w="3649" w:type="dxa"/>
            <w:vAlign w:val="center"/>
          </w:tcPr>
          <w:p w14:paraId="4293E0C2">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脑电软件</w:t>
            </w:r>
          </w:p>
        </w:tc>
        <w:tc>
          <w:tcPr>
            <w:tcW w:w="901" w:type="dxa"/>
            <w:vAlign w:val="center"/>
          </w:tcPr>
          <w:p w14:paraId="03C7A683">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c>
          <w:tcPr>
            <w:tcW w:w="934" w:type="dxa"/>
            <w:vAlign w:val="center"/>
          </w:tcPr>
          <w:p w14:paraId="10168F4F">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套</w:t>
            </w:r>
          </w:p>
        </w:tc>
      </w:tr>
      <w:tr w14:paraId="4309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 w:type="dxa"/>
            <w:vAlign w:val="center"/>
          </w:tcPr>
          <w:p w14:paraId="26143CB5">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3</w:t>
            </w:r>
          </w:p>
        </w:tc>
        <w:tc>
          <w:tcPr>
            <w:tcW w:w="3649" w:type="dxa"/>
            <w:vAlign w:val="center"/>
          </w:tcPr>
          <w:p w14:paraId="44A61835">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脑电图</w:t>
            </w:r>
          </w:p>
        </w:tc>
        <w:tc>
          <w:tcPr>
            <w:tcW w:w="901" w:type="dxa"/>
            <w:vAlign w:val="center"/>
          </w:tcPr>
          <w:p w14:paraId="4C0602CC">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c>
          <w:tcPr>
            <w:tcW w:w="934" w:type="dxa"/>
            <w:vAlign w:val="center"/>
          </w:tcPr>
          <w:p w14:paraId="364F06BC">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套</w:t>
            </w:r>
          </w:p>
        </w:tc>
      </w:tr>
      <w:tr w14:paraId="5BF8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 w:type="dxa"/>
            <w:vAlign w:val="center"/>
          </w:tcPr>
          <w:p w14:paraId="7639C1EA">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4</w:t>
            </w:r>
          </w:p>
        </w:tc>
        <w:tc>
          <w:tcPr>
            <w:tcW w:w="3649" w:type="dxa"/>
            <w:vAlign w:val="center"/>
          </w:tcPr>
          <w:p w14:paraId="77462736">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脑地形图</w:t>
            </w:r>
          </w:p>
        </w:tc>
        <w:tc>
          <w:tcPr>
            <w:tcW w:w="901" w:type="dxa"/>
            <w:vAlign w:val="center"/>
          </w:tcPr>
          <w:p w14:paraId="2239DDED">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c>
          <w:tcPr>
            <w:tcW w:w="934" w:type="dxa"/>
            <w:vAlign w:val="center"/>
          </w:tcPr>
          <w:p w14:paraId="465301C2">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套</w:t>
            </w:r>
          </w:p>
        </w:tc>
      </w:tr>
      <w:tr w14:paraId="709B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 w:type="dxa"/>
            <w:vAlign w:val="center"/>
          </w:tcPr>
          <w:p w14:paraId="512DF7BF">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5</w:t>
            </w:r>
          </w:p>
        </w:tc>
        <w:tc>
          <w:tcPr>
            <w:tcW w:w="3649" w:type="dxa"/>
            <w:vAlign w:val="center"/>
          </w:tcPr>
          <w:p w14:paraId="0A035CD9">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独立成分分析</w:t>
            </w:r>
          </w:p>
        </w:tc>
        <w:tc>
          <w:tcPr>
            <w:tcW w:w="901" w:type="dxa"/>
            <w:vAlign w:val="center"/>
          </w:tcPr>
          <w:p w14:paraId="018A890E">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c>
          <w:tcPr>
            <w:tcW w:w="934" w:type="dxa"/>
            <w:vAlign w:val="center"/>
          </w:tcPr>
          <w:p w14:paraId="10A0E39D">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套</w:t>
            </w:r>
          </w:p>
        </w:tc>
      </w:tr>
      <w:tr w14:paraId="5E7F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 w:type="dxa"/>
            <w:vAlign w:val="center"/>
          </w:tcPr>
          <w:p w14:paraId="7512DAA9">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6</w:t>
            </w:r>
          </w:p>
        </w:tc>
        <w:tc>
          <w:tcPr>
            <w:tcW w:w="3649" w:type="dxa"/>
            <w:vAlign w:val="center"/>
          </w:tcPr>
          <w:p w14:paraId="4268DF4E">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脑机接口控制外骨骼系统</w:t>
            </w:r>
          </w:p>
        </w:tc>
        <w:tc>
          <w:tcPr>
            <w:tcW w:w="901" w:type="dxa"/>
            <w:vAlign w:val="center"/>
          </w:tcPr>
          <w:p w14:paraId="63C75957">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c>
          <w:tcPr>
            <w:tcW w:w="934" w:type="dxa"/>
            <w:vAlign w:val="center"/>
          </w:tcPr>
          <w:p w14:paraId="14BD98A5">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套</w:t>
            </w:r>
          </w:p>
        </w:tc>
      </w:tr>
      <w:tr w14:paraId="057A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 w:type="dxa"/>
            <w:vAlign w:val="center"/>
          </w:tcPr>
          <w:p w14:paraId="6B1FF84C">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7</w:t>
            </w:r>
          </w:p>
        </w:tc>
        <w:tc>
          <w:tcPr>
            <w:tcW w:w="3649" w:type="dxa"/>
            <w:vAlign w:val="center"/>
          </w:tcPr>
          <w:p w14:paraId="09569306">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自动化脑网络分析软件</w:t>
            </w:r>
          </w:p>
        </w:tc>
        <w:tc>
          <w:tcPr>
            <w:tcW w:w="901" w:type="dxa"/>
            <w:vAlign w:val="center"/>
          </w:tcPr>
          <w:p w14:paraId="414C350E">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c>
          <w:tcPr>
            <w:tcW w:w="934" w:type="dxa"/>
            <w:vAlign w:val="center"/>
          </w:tcPr>
          <w:p w14:paraId="1E90ECD8">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套</w:t>
            </w:r>
          </w:p>
        </w:tc>
      </w:tr>
      <w:tr w14:paraId="7AD5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 w:type="dxa"/>
            <w:vAlign w:val="center"/>
          </w:tcPr>
          <w:p w14:paraId="10AC98E8">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8</w:t>
            </w:r>
          </w:p>
        </w:tc>
        <w:tc>
          <w:tcPr>
            <w:tcW w:w="3649" w:type="dxa"/>
            <w:vAlign w:val="center"/>
          </w:tcPr>
          <w:p w14:paraId="7648828E">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脑电电极帽</w:t>
            </w:r>
          </w:p>
        </w:tc>
        <w:tc>
          <w:tcPr>
            <w:tcW w:w="901" w:type="dxa"/>
            <w:vAlign w:val="center"/>
          </w:tcPr>
          <w:p w14:paraId="2604EE06">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c>
          <w:tcPr>
            <w:tcW w:w="934" w:type="dxa"/>
            <w:vAlign w:val="center"/>
          </w:tcPr>
          <w:p w14:paraId="7BD4769B">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套</w:t>
            </w:r>
          </w:p>
        </w:tc>
      </w:tr>
      <w:tr w14:paraId="2FE3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 w:type="dxa"/>
            <w:vAlign w:val="center"/>
          </w:tcPr>
          <w:p w14:paraId="3B907114">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9</w:t>
            </w:r>
          </w:p>
        </w:tc>
        <w:tc>
          <w:tcPr>
            <w:tcW w:w="3649" w:type="dxa"/>
            <w:vAlign w:val="center"/>
          </w:tcPr>
          <w:p w14:paraId="574FF081">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电脑</w:t>
            </w:r>
          </w:p>
        </w:tc>
        <w:tc>
          <w:tcPr>
            <w:tcW w:w="901" w:type="dxa"/>
            <w:vAlign w:val="center"/>
          </w:tcPr>
          <w:p w14:paraId="57F42B06">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c>
          <w:tcPr>
            <w:tcW w:w="934" w:type="dxa"/>
            <w:vAlign w:val="center"/>
          </w:tcPr>
          <w:p w14:paraId="118F9AFC">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台</w:t>
            </w:r>
          </w:p>
        </w:tc>
      </w:tr>
    </w:tbl>
    <w:p w14:paraId="4EA72430">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二、商务与服务底线</w:t>
      </w:r>
    </w:p>
    <w:p w14:paraId="5CAE5821">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1.保修：整机全免费保修期不低于3年。</w:t>
      </w:r>
    </w:p>
    <w:p w14:paraId="31C8FF73">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2.服务：报修后2小时内响应，24小时内上门。</w:t>
      </w:r>
    </w:p>
    <w:p w14:paraId="2B6F5A8A">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3.报价要求：按设备整机报价比价，同步提供配套耗材（若有）参考报价。</w:t>
      </w:r>
    </w:p>
    <w:p w14:paraId="4CD98236">
      <w:pPr>
        <w:pageBreakBefore w:val="0"/>
        <w:widowControl w:val="0"/>
        <w:kinsoku/>
        <w:overflowPunct/>
        <w:topLinePunct w:val="0"/>
        <w:autoSpaceDE/>
        <w:autoSpaceDN/>
        <w:bidi w:val="0"/>
        <w:adjustRightInd/>
        <w:snapToGrid/>
        <w:spacing w:line="560" w:lineRule="exact"/>
        <w:jc w:val="both"/>
        <w:textAlignment w:val="auto"/>
        <w:rPr>
          <w:rFonts w:hint="eastAsia" w:ascii="华文仿宋" w:hAnsi="华文仿宋" w:eastAsia="华文仿宋" w:cs="华文仿宋"/>
          <w:color w:val="000000"/>
          <w:kern w:val="2"/>
          <w:sz w:val="28"/>
          <w:szCs w:val="28"/>
          <w:lang w:val="en-US" w:eastAsia="zh-CN"/>
        </w:rPr>
      </w:pPr>
    </w:p>
    <w:p w14:paraId="252D2F2F">
      <w:pPr>
        <w:pStyle w:val="3"/>
        <w:pageBreakBefore w:val="0"/>
        <w:kinsoku/>
        <w:overflowPunct/>
        <w:topLinePunct w:val="0"/>
        <w:autoSpaceDE/>
        <w:autoSpaceDN/>
        <w:bidi w:val="0"/>
        <w:adjustRightInd/>
        <w:snapToGrid/>
        <w:spacing w:before="0" w:beforeLines="0" w:after="0" w:afterLines="0" w:line="560" w:lineRule="exact"/>
        <w:ind w:left="0" w:leftChars="0"/>
        <w:jc w:val="both"/>
        <w:textAlignment w:val="auto"/>
        <w:rPr>
          <w:rFonts w:hint="default" w:ascii="宋体" w:hAnsi="宋体" w:eastAsia="宋体" w:cs="宋体"/>
          <w:b/>
          <w:i w:val="0"/>
          <w:iCs w:val="0"/>
          <w:color w:val="000000"/>
          <w:kern w:val="0"/>
          <w:sz w:val="28"/>
          <w:szCs w:val="28"/>
          <w:u w:val="none"/>
          <w:lang w:val="en-US" w:eastAsia="zh-CN" w:bidi="ar"/>
        </w:rPr>
      </w:pPr>
      <w:r>
        <w:rPr>
          <w:rFonts w:hint="eastAsia" w:ascii="宋体" w:hAnsi="宋体" w:eastAsia="宋体" w:cs="宋体"/>
          <w:b/>
          <w:i w:val="0"/>
          <w:iCs w:val="0"/>
          <w:color w:val="000000"/>
          <w:kern w:val="0"/>
          <w:sz w:val="28"/>
          <w:szCs w:val="28"/>
          <w:u w:val="none"/>
          <w:lang w:val="en-US" w:eastAsia="zh-CN" w:bidi="ar"/>
        </w:rPr>
        <w:t>包7：下肢外骨骼机器人</w:t>
      </w:r>
    </w:p>
    <w:p w14:paraId="222439F8">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一、技术核心要求</w:t>
      </w:r>
    </w:p>
    <w:p w14:paraId="40843356">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1.设备用途：适用于各种原因导致的下肢运动功能障碍人群的关节训练、肌力训练及辅助行走和步态训练。</w:t>
      </w:r>
    </w:p>
    <w:p w14:paraId="7E4116D4">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xml:space="preserve"> 2.关键性能</w:t>
      </w:r>
    </w:p>
    <w:p w14:paraId="518E1F22">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xml:space="preserve">（1）多模式训练系统：内置主动训练、主被动训练、被动训练、等速训练、等张训练、等长训练 6 类专业训练模式。 </w:t>
      </w:r>
    </w:p>
    <w:p w14:paraId="458A7561">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（2）关节活动度的训练与评估：能够具备站立状态下的双侧下肢各关节的单关节活动度及肌力训练功能和具备站立状态下的下肢各关节（双侧髋、膝）的关节活动度的评估功能。</w:t>
      </w:r>
    </w:p>
    <w:p w14:paraId="6687CBD6">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3）智能调节功能：对于单关节训练的患者具备训练关节、训练模式（等长、等张、等速、被动、主动）、关节运动速度、非训练关节固定角度、训练关节训练角度、训练时长智能调节功能；对于抬腿训练的患者具备训练模式（被动、主被动、主动）、训练部位（左腿、右腿）、髋关节训练范围、训练速度、助力幅度、训练时长智能调节功能；对于持拐训练的患者具备步长、步速的智能调节功能；对于关节活动范围评估的患者具备评估部位、评估侧非评估关节的固定角度的的智能调节功能。</w:t>
      </w:r>
    </w:p>
    <w:p w14:paraId="12ABD78E">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xml:space="preserve">（4）坐站转移功能：电动辅助起立、坐下一体化训练，适配下肢肌力不足患者基础站立康复。 </w:t>
      </w:r>
    </w:p>
    <w:p w14:paraId="1C4D1227">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xml:space="preserve">（5）多场景步态训练 </w:t>
      </w:r>
    </w:p>
    <w:p w14:paraId="7AE2F1CD">
      <w:pPr>
        <w:pageBreakBefore w:val="0"/>
        <w:widowControl w:val="0"/>
        <w:kinsoku/>
        <w:overflowPunct/>
        <w:topLinePunct w:val="0"/>
        <w:autoSpaceDE/>
        <w:autoSpaceDN/>
        <w:bidi w:val="0"/>
        <w:adjustRightInd/>
        <w:snapToGrid/>
        <w:spacing w:line="560" w:lineRule="exact"/>
        <w:ind w:firstLine="560" w:firstLineChars="200"/>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① 辅助支架悬空的主动、被动、主被动行走训练功能。</w:t>
      </w:r>
    </w:p>
    <w:p w14:paraId="5A81FDFF">
      <w:pPr>
        <w:pageBreakBefore w:val="0"/>
        <w:widowControl w:val="0"/>
        <w:kinsoku/>
        <w:overflowPunct/>
        <w:topLinePunct w:val="0"/>
        <w:autoSpaceDE/>
        <w:autoSpaceDN/>
        <w:bidi w:val="0"/>
        <w:adjustRightInd/>
        <w:snapToGrid/>
        <w:spacing w:line="560" w:lineRule="exact"/>
        <w:ind w:firstLine="560" w:firstLineChars="200"/>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② 支架辅助触地的主动、被动、主被动行走训练功能。</w:t>
      </w:r>
    </w:p>
    <w:p w14:paraId="7005A68C">
      <w:pPr>
        <w:pageBreakBefore w:val="0"/>
        <w:widowControl w:val="0"/>
        <w:kinsoku/>
        <w:overflowPunct/>
        <w:topLinePunct w:val="0"/>
        <w:autoSpaceDE/>
        <w:autoSpaceDN/>
        <w:bidi w:val="0"/>
        <w:adjustRightInd/>
        <w:snapToGrid/>
        <w:spacing w:line="560" w:lineRule="exact"/>
        <w:ind w:firstLine="560" w:firstLineChars="200"/>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③ 独立双拐杖的主动、被动、主被动行走训练。</w:t>
      </w:r>
    </w:p>
    <w:p w14:paraId="5EA5752F">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xml:space="preserve">（6）单关节评估与训练：站立位双侧髋、膝、踝关节活动度定量评估，可固定单侧关节角度，对另一侧开展等长 / 等张 / 等速 / 被动 / 主动训练；踝关节支持跖屈、背屈专项训练。 </w:t>
      </w:r>
    </w:p>
    <w:p w14:paraId="54FD8AD3">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xml:space="preserve">（7）智能浮动辅助支架：动态重心浮动距离≥10cm，电控转向、自适应升降，扶手外展角度可调，适配患者行走重心变化。 </w:t>
      </w:r>
    </w:p>
    <w:p w14:paraId="28FDE778">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（8）供电续航设计：需标配多块可插拔锂电池，无需停机即可更换，主机、支架、拐杖独立充电。</w:t>
      </w:r>
    </w:p>
    <w:p w14:paraId="045087C1">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 xml:space="preserve">3.模块与配置（标配全套） </w:t>
      </w:r>
    </w:p>
    <w:tbl>
      <w:tblPr>
        <w:tblStyle w:val="11"/>
        <w:tblW w:w="75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4"/>
        <w:gridCol w:w="4711"/>
        <w:gridCol w:w="930"/>
        <w:gridCol w:w="857"/>
      </w:tblGrid>
      <w:tr w14:paraId="17A73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54" w:type="dxa"/>
            <w:vAlign w:val="center"/>
          </w:tcPr>
          <w:p w14:paraId="23EE221D">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序号</w:t>
            </w:r>
          </w:p>
        </w:tc>
        <w:tc>
          <w:tcPr>
            <w:tcW w:w="4711" w:type="dxa"/>
            <w:vAlign w:val="center"/>
          </w:tcPr>
          <w:p w14:paraId="262251AB">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配置名称</w:t>
            </w:r>
          </w:p>
        </w:tc>
        <w:tc>
          <w:tcPr>
            <w:tcW w:w="930" w:type="dxa"/>
            <w:vAlign w:val="center"/>
          </w:tcPr>
          <w:p w14:paraId="0E68D766">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单位</w:t>
            </w:r>
          </w:p>
        </w:tc>
        <w:tc>
          <w:tcPr>
            <w:tcW w:w="857" w:type="dxa"/>
            <w:vAlign w:val="center"/>
          </w:tcPr>
          <w:p w14:paraId="0524B30F">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数量</w:t>
            </w:r>
          </w:p>
        </w:tc>
      </w:tr>
      <w:tr w14:paraId="381B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54" w:type="dxa"/>
            <w:vAlign w:val="center"/>
          </w:tcPr>
          <w:p w14:paraId="29451DEF">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c>
          <w:tcPr>
            <w:tcW w:w="4711" w:type="dxa"/>
            <w:vAlign w:val="center"/>
          </w:tcPr>
          <w:p w14:paraId="03500FD6">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下肢步行外骨骼主机</w:t>
            </w:r>
          </w:p>
        </w:tc>
        <w:tc>
          <w:tcPr>
            <w:tcW w:w="930" w:type="dxa"/>
            <w:vAlign w:val="center"/>
          </w:tcPr>
          <w:p w14:paraId="5A9155DC">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台</w:t>
            </w:r>
          </w:p>
        </w:tc>
        <w:tc>
          <w:tcPr>
            <w:tcW w:w="857" w:type="dxa"/>
            <w:vAlign w:val="center"/>
          </w:tcPr>
          <w:p w14:paraId="6339CE41">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r>
      <w:tr w14:paraId="2A87F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54" w:type="dxa"/>
            <w:vAlign w:val="center"/>
          </w:tcPr>
          <w:p w14:paraId="4FC762D7">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2</w:t>
            </w:r>
          </w:p>
        </w:tc>
        <w:tc>
          <w:tcPr>
            <w:tcW w:w="4711" w:type="dxa"/>
            <w:vAlign w:val="center"/>
          </w:tcPr>
          <w:p w14:paraId="67545F59">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 xml:space="preserve">智能移动控制系统（平板电脑） </w:t>
            </w:r>
          </w:p>
        </w:tc>
        <w:tc>
          <w:tcPr>
            <w:tcW w:w="930" w:type="dxa"/>
            <w:vAlign w:val="center"/>
          </w:tcPr>
          <w:p w14:paraId="234BEB88">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套</w:t>
            </w:r>
          </w:p>
        </w:tc>
        <w:tc>
          <w:tcPr>
            <w:tcW w:w="857" w:type="dxa"/>
            <w:vAlign w:val="center"/>
          </w:tcPr>
          <w:p w14:paraId="1856D128">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r>
      <w:tr w14:paraId="42D54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54" w:type="dxa"/>
            <w:vAlign w:val="center"/>
          </w:tcPr>
          <w:p w14:paraId="53659525">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3</w:t>
            </w:r>
          </w:p>
        </w:tc>
        <w:tc>
          <w:tcPr>
            <w:tcW w:w="4711" w:type="dxa"/>
            <w:vAlign w:val="center"/>
          </w:tcPr>
          <w:p w14:paraId="63B0E1CE">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 xml:space="preserve">主机电池 </w:t>
            </w:r>
          </w:p>
        </w:tc>
        <w:tc>
          <w:tcPr>
            <w:tcW w:w="930" w:type="dxa"/>
            <w:vAlign w:val="center"/>
          </w:tcPr>
          <w:p w14:paraId="508959CB">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个</w:t>
            </w:r>
          </w:p>
        </w:tc>
        <w:tc>
          <w:tcPr>
            <w:tcW w:w="857" w:type="dxa"/>
            <w:vAlign w:val="center"/>
          </w:tcPr>
          <w:p w14:paraId="05AC7FF6">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2</w:t>
            </w:r>
          </w:p>
        </w:tc>
      </w:tr>
      <w:tr w14:paraId="2617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54" w:type="dxa"/>
            <w:vAlign w:val="center"/>
          </w:tcPr>
          <w:p w14:paraId="27D051CC">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4</w:t>
            </w:r>
          </w:p>
        </w:tc>
        <w:tc>
          <w:tcPr>
            <w:tcW w:w="4711" w:type="dxa"/>
            <w:vAlign w:val="center"/>
          </w:tcPr>
          <w:p w14:paraId="5D78C166">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主机电池充电器</w:t>
            </w:r>
          </w:p>
        </w:tc>
        <w:tc>
          <w:tcPr>
            <w:tcW w:w="930" w:type="dxa"/>
            <w:vAlign w:val="center"/>
          </w:tcPr>
          <w:p w14:paraId="7CFAC398">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个</w:t>
            </w:r>
          </w:p>
        </w:tc>
        <w:tc>
          <w:tcPr>
            <w:tcW w:w="857" w:type="dxa"/>
            <w:vAlign w:val="center"/>
          </w:tcPr>
          <w:p w14:paraId="13A5F055">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r>
      <w:tr w14:paraId="21AD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54" w:type="dxa"/>
            <w:vAlign w:val="center"/>
          </w:tcPr>
          <w:p w14:paraId="3550A5FB">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5</w:t>
            </w:r>
          </w:p>
        </w:tc>
        <w:tc>
          <w:tcPr>
            <w:tcW w:w="4711" w:type="dxa"/>
            <w:vAlign w:val="center"/>
          </w:tcPr>
          <w:p w14:paraId="599B2D7B">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智能安全辅助支架</w:t>
            </w:r>
          </w:p>
        </w:tc>
        <w:tc>
          <w:tcPr>
            <w:tcW w:w="930" w:type="dxa"/>
            <w:vAlign w:val="center"/>
          </w:tcPr>
          <w:p w14:paraId="1B6A3232">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台</w:t>
            </w:r>
          </w:p>
        </w:tc>
        <w:tc>
          <w:tcPr>
            <w:tcW w:w="857" w:type="dxa"/>
            <w:vAlign w:val="center"/>
          </w:tcPr>
          <w:p w14:paraId="36DCFE9E">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r>
      <w:tr w14:paraId="299B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54" w:type="dxa"/>
            <w:vAlign w:val="center"/>
          </w:tcPr>
          <w:p w14:paraId="0D945AA8">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6</w:t>
            </w:r>
          </w:p>
        </w:tc>
        <w:tc>
          <w:tcPr>
            <w:tcW w:w="4711" w:type="dxa"/>
            <w:vAlign w:val="center"/>
          </w:tcPr>
          <w:p w14:paraId="225CFC2C">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智能安全辅助支架充电器</w:t>
            </w:r>
          </w:p>
        </w:tc>
        <w:tc>
          <w:tcPr>
            <w:tcW w:w="930" w:type="dxa"/>
            <w:vAlign w:val="center"/>
          </w:tcPr>
          <w:p w14:paraId="69F5A3CA">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个</w:t>
            </w:r>
          </w:p>
        </w:tc>
        <w:tc>
          <w:tcPr>
            <w:tcW w:w="857" w:type="dxa"/>
            <w:vAlign w:val="center"/>
          </w:tcPr>
          <w:p w14:paraId="7AE7F533">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r>
      <w:tr w14:paraId="74FD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54" w:type="dxa"/>
            <w:vAlign w:val="center"/>
          </w:tcPr>
          <w:p w14:paraId="2DCB7AB8">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7</w:t>
            </w:r>
          </w:p>
        </w:tc>
        <w:tc>
          <w:tcPr>
            <w:tcW w:w="4711" w:type="dxa"/>
            <w:vAlign w:val="center"/>
          </w:tcPr>
          <w:p w14:paraId="565C963F">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拐杖</w:t>
            </w:r>
          </w:p>
        </w:tc>
        <w:tc>
          <w:tcPr>
            <w:tcW w:w="930" w:type="dxa"/>
            <w:vAlign w:val="center"/>
          </w:tcPr>
          <w:p w14:paraId="146B2F2A">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对</w:t>
            </w:r>
          </w:p>
        </w:tc>
        <w:tc>
          <w:tcPr>
            <w:tcW w:w="857" w:type="dxa"/>
            <w:vAlign w:val="center"/>
          </w:tcPr>
          <w:p w14:paraId="00EDC556">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r>
      <w:tr w14:paraId="40C3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54" w:type="dxa"/>
            <w:vAlign w:val="center"/>
          </w:tcPr>
          <w:p w14:paraId="1B0CED0E">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8</w:t>
            </w:r>
          </w:p>
        </w:tc>
        <w:tc>
          <w:tcPr>
            <w:tcW w:w="4711" w:type="dxa"/>
            <w:vAlign w:val="center"/>
          </w:tcPr>
          <w:p w14:paraId="3E0D58D0">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拐杖充电器（含Type-ＣUSB线）</w:t>
            </w:r>
          </w:p>
        </w:tc>
        <w:tc>
          <w:tcPr>
            <w:tcW w:w="930" w:type="dxa"/>
            <w:vAlign w:val="center"/>
          </w:tcPr>
          <w:p w14:paraId="0146ADBB">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根</w:t>
            </w:r>
          </w:p>
        </w:tc>
        <w:tc>
          <w:tcPr>
            <w:tcW w:w="857" w:type="dxa"/>
            <w:vAlign w:val="center"/>
          </w:tcPr>
          <w:p w14:paraId="1476F223">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2</w:t>
            </w:r>
          </w:p>
        </w:tc>
      </w:tr>
      <w:tr w14:paraId="2690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54" w:type="dxa"/>
            <w:vAlign w:val="center"/>
          </w:tcPr>
          <w:p w14:paraId="60CD05C8">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default"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9</w:t>
            </w:r>
          </w:p>
        </w:tc>
        <w:tc>
          <w:tcPr>
            <w:tcW w:w="4711" w:type="dxa"/>
            <w:vAlign w:val="center"/>
          </w:tcPr>
          <w:p w14:paraId="65D79C05">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穿戴凳</w:t>
            </w:r>
          </w:p>
        </w:tc>
        <w:tc>
          <w:tcPr>
            <w:tcW w:w="930" w:type="dxa"/>
            <w:vAlign w:val="center"/>
          </w:tcPr>
          <w:p w14:paraId="7F334984">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个</w:t>
            </w:r>
          </w:p>
        </w:tc>
        <w:tc>
          <w:tcPr>
            <w:tcW w:w="857" w:type="dxa"/>
            <w:vAlign w:val="center"/>
          </w:tcPr>
          <w:p w14:paraId="3D3F592D">
            <w:pPr>
              <w:keepNext w:val="0"/>
              <w:keepLines w:val="0"/>
              <w:pageBreakBefore w:val="0"/>
              <w:widowControl w:val="0"/>
              <w:numPr>
                <w:ilvl w:val="0"/>
                <w:numId w:val="0"/>
              </w:numPr>
              <w:kinsoku/>
              <w:wordWrap/>
              <w:overflowPunct/>
              <w:topLinePunct w:val="0"/>
              <w:autoSpaceDE/>
              <w:autoSpaceDN/>
              <w:bidi w:val="0"/>
              <w:adjustRightInd/>
              <w:snapToGrid/>
              <w:spacing w:after="0" w:line="400" w:lineRule="exact"/>
              <w:jc w:val="center"/>
              <w:textAlignment w:val="auto"/>
              <w:rPr>
                <w:rFonts w:hint="eastAsia" w:ascii="方正仿宋_GB2312" w:hAnsi="方正仿宋_GB2312" w:eastAsia="方正仿宋_GB2312" w:cs="方正仿宋_GB2312"/>
                <w:sz w:val="28"/>
                <w:szCs w:val="28"/>
                <w:vertAlign w:val="baseline"/>
                <w:lang w:val="en-US" w:eastAsia="zh-CN"/>
              </w:rPr>
            </w:pPr>
            <w:r>
              <w:rPr>
                <w:rFonts w:hint="eastAsia" w:ascii="方正仿宋_GB2312" w:hAnsi="方正仿宋_GB2312" w:eastAsia="方正仿宋_GB2312" w:cs="方正仿宋_GB2312"/>
                <w:sz w:val="28"/>
                <w:szCs w:val="28"/>
                <w:vertAlign w:val="baseline"/>
                <w:lang w:val="en-US" w:eastAsia="zh-CN"/>
              </w:rPr>
              <w:t>1</w:t>
            </w:r>
          </w:p>
        </w:tc>
      </w:tr>
    </w:tbl>
    <w:p w14:paraId="2417090F">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二、商务与服务底线</w:t>
      </w:r>
    </w:p>
    <w:p w14:paraId="7EFC18FB">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1.保修：整机全免费保修期不低于3年。</w:t>
      </w:r>
    </w:p>
    <w:p w14:paraId="720515D0">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2.服务：报修后2小时内响应，24小时内上门。</w:t>
      </w:r>
    </w:p>
    <w:p w14:paraId="37AAA69E">
      <w:pPr>
        <w:pageBreakBefore w:val="0"/>
        <w:widowControl w:val="0"/>
        <w:kinsoku/>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3.报价要求：按设备整机报价比价，同步提供配套耗材（若有）参考报价。</w:t>
      </w:r>
    </w:p>
    <w:p w14:paraId="0EFB9F1C">
      <w:pPr>
        <w:pageBreakBefore w:val="0"/>
        <w:widowControl w:val="0"/>
        <w:kinsoku/>
        <w:overflowPunct/>
        <w:topLinePunct w:val="0"/>
        <w:autoSpaceDE/>
        <w:autoSpaceDN/>
        <w:bidi w:val="0"/>
        <w:adjustRightInd/>
        <w:snapToGrid/>
        <w:spacing w:line="560" w:lineRule="exact"/>
        <w:jc w:val="both"/>
        <w:textAlignment w:val="auto"/>
        <w:rPr>
          <w:rFonts w:hint="default" w:ascii="方正仿宋_GB2312" w:hAnsi="方正仿宋_GB2312" w:eastAsia="方正仿宋_GB2312" w:cs="方正仿宋_GB2312"/>
          <w:kern w:val="2"/>
          <w:sz w:val="28"/>
          <w:szCs w:val="28"/>
          <w:lang w:val="en-US" w:eastAsia="zh-CN" w:bidi="ar-SA"/>
        </w:rPr>
      </w:pPr>
    </w:p>
    <w:sectPr>
      <w:pgSz w:w="11906" w:h="16838"/>
      <w:pgMar w:top="1701" w:right="1417" w:bottom="141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roman"/>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embedRegular r:id="rId1" w:fontKey="{F6E0DD56-5C9C-4372-BF08-B6A558B6D0B1}"/>
  </w:font>
  <w:font w:name="华文仿宋">
    <w:panose1 w:val="02010600040101010101"/>
    <w:charset w:val="86"/>
    <w:family w:val="auto"/>
    <w:pitch w:val="default"/>
    <w:sig w:usb0="00000287" w:usb1="080F0000" w:usb2="00000000" w:usb3="00000000" w:csb0="0004009F" w:csb1="DFD70000"/>
    <w:embedRegular r:id="rId2" w:fontKey="{3BD3F774-9934-427B-A243-097C453085D5}"/>
  </w:font>
  <w:font w:name="仿宋">
    <w:panose1 w:val="02010609060101010101"/>
    <w:charset w:val="86"/>
    <w:family w:val="auto"/>
    <w:pitch w:val="default"/>
    <w:sig w:usb0="800002BF" w:usb1="38CF7CFA" w:usb2="00000016" w:usb3="00000000" w:csb0="00040001" w:csb1="00000000"/>
  </w:font>
  <w:font w:name="KSOFE8852770">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EE1E64"/>
    <w:multiLevelType w:val="singleLevel"/>
    <w:tmpl w:val="3EEE1E64"/>
    <w:lvl w:ilvl="0" w:tentative="0">
      <w:start w:val="1"/>
      <w:numFmt w:val="decimal"/>
      <w:suff w:val="nothing"/>
      <w:lvlText w:val="%1"/>
      <w:lvlJc w:val="left"/>
      <w:pPr>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2960B7"/>
    <w:rsid w:val="0234619E"/>
    <w:rsid w:val="02E37169"/>
    <w:rsid w:val="044023E5"/>
    <w:rsid w:val="04635110"/>
    <w:rsid w:val="047F2F94"/>
    <w:rsid w:val="04FA7115"/>
    <w:rsid w:val="05B448C3"/>
    <w:rsid w:val="06F061D0"/>
    <w:rsid w:val="075A3457"/>
    <w:rsid w:val="07E55609"/>
    <w:rsid w:val="0A2758D1"/>
    <w:rsid w:val="0A562B2D"/>
    <w:rsid w:val="0C252478"/>
    <w:rsid w:val="0CF71EEF"/>
    <w:rsid w:val="0DD26630"/>
    <w:rsid w:val="0DE56E61"/>
    <w:rsid w:val="0E666B26"/>
    <w:rsid w:val="11274EE5"/>
    <w:rsid w:val="120E7E53"/>
    <w:rsid w:val="14883EEC"/>
    <w:rsid w:val="15B566CC"/>
    <w:rsid w:val="15F15C66"/>
    <w:rsid w:val="1732261A"/>
    <w:rsid w:val="17610ABD"/>
    <w:rsid w:val="17DF7A1A"/>
    <w:rsid w:val="182D7DBF"/>
    <w:rsid w:val="193C45EE"/>
    <w:rsid w:val="1A3366A8"/>
    <w:rsid w:val="1A99258F"/>
    <w:rsid w:val="1AAA2EE8"/>
    <w:rsid w:val="1B2F18B4"/>
    <w:rsid w:val="1D460331"/>
    <w:rsid w:val="1E593B9C"/>
    <w:rsid w:val="1EF23D6B"/>
    <w:rsid w:val="21967F75"/>
    <w:rsid w:val="21D00DD1"/>
    <w:rsid w:val="22087AAA"/>
    <w:rsid w:val="229E0014"/>
    <w:rsid w:val="22C32FEA"/>
    <w:rsid w:val="23BA1190"/>
    <w:rsid w:val="23C95987"/>
    <w:rsid w:val="23EC3090"/>
    <w:rsid w:val="2476155B"/>
    <w:rsid w:val="2580476C"/>
    <w:rsid w:val="259F1126"/>
    <w:rsid w:val="26005209"/>
    <w:rsid w:val="263317DE"/>
    <w:rsid w:val="28AE4351"/>
    <w:rsid w:val="2AA075F4"/>
    <w:rsid w:val="2B631DDB"/>
    <w:rsid w:val="2D2B320F"/>
    <w:rsid w:val="2DF301D1"/>
    <w:rsid w:val="2FF43D8C"/>
    <w:rsid w:val="30F2476F"/>
    <w:rsid w:val="3284589B"/>
    <w:rsid w:val="32AB482D"/>
    <w:rsid w:val="395A56CE"/>
    <w:rsid w:val="3A1846C8"/>
    <w:rsid w:val="3E73334C"/>
    <w:rsid w:val="3EC8622A"/>
    <w:rsid w:val="4508235C"/>
    <w:rsid w:val="45472F4E"/>
    <w:rsid w:val="478C7238"/>
    <w:rsid w:val="479954ED"/>
    <w:rsid w:val="47D85797"/>
    <w:rsid w:val="48AB7349"/>
    <w:rsid w:val="49EA2030"/>
    <w:rsid w:val="4A5360C6"/>
    <w:rsid w:val="4AC960E9"/>
    <w:rsid w:val="4BAE59C5"/>
    <w:rsid w:val="4C143394"/>
    <w:rsid w:val="4FB73454"/>
    <w:rsid w:val="50A218B6"/>
    <w:rsid w:val="50EF7DF0"/>
    <w:rsid w:val="51E13E09"/>
    <w:rsid w:val="527369E5"/>
    <w:rsid w:val="529E42FF"/>
    <w:rsid w:val="52C61160"/>
    <w:rsid w:val="53BA6F17"/>
    <w:rsid w:val="5466366B"/>
    <w:rsid w:val="547C5F7A"/>
    <w:rsid w:val="550A17D8"/>
    <w:rsid w:val="564D5561"/>
    <w:rsid w:val="56AD2D63"/>
    <w:rsid w:val="58A509C8"/>
    <w:rsid w:val="5A2908C9"/>
    <w:rsid w:val="5CB31B05"/>
    <w:rsid w:val="5FF3147B"/>
    <w:rsid w:val="61BF4E97"/>
    <w:rsid w:val="61C53537"/>
    <w:rsid w:val="61F10B12"/>
    <w:rsid w:val="62754478"/>
    <w:rsid w:val="62E55633"/>
    <w:rsid w:val="6470643E"/>
    <w:rsid w:val="64D01601"/>
    <w:rsid w:val="65314B5F"/>
    <w:rsid w:val="65331F13"/>
    <w:rsid w:val="664D397F"/>
    <w:rsid w:val="671E2DBD"/>
    <w:rsid w:val="674476A9"/>
    <w:rsid w:val="6BDC307A"/>
    <w:rsid w:val="6BE61923"/>
    <w:rsid w:val="6D4159E8"/>
    <w:rsid w:val="6DB97DE8"/>
    <w:rsid w:val="6E327B54"/>
    <w:rsid w:val="6F9A6C12"/>
    <w:rsid w:val="70003AAC"/>
    <w:rsid w:val="700D50E9"/>
    <w:rsid w:val="70EB662F"/>
    <w:rsid w:val="71066EA0"/>
    <w:rsid w:val="710A73E4"/>
    <w:rsid w:val="715F3430"/>
    <w:rsid w:val="71752277"/>
    <w:rsid w:val="76E557A9"/>
    <w:rsid w:val="775E0159"/>
    <w:rsid w:val="77713ED2"/>
    <w:rsid w:val="79A67472"/>
    <w:rsid w:val="7C1728A9"/>
    <w:rsid w:val="7F17671C"/>
    <w:rsid w:val="7F4946CE"/>
    <w:rsid w:val="7FD402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5">
    <w:name w:val="Body Text"/>
    <w:basedOn w:val="1"/>
    <w:next w:val="6"/>
    <w:qFormat/>
    <w:uiPriority w:val="99"/>
    <w:pPr>
      <w:spacing w:line="380" w:lineRule="exact"/>
    </w:pPr>
    <w:rPr>
      <w:sz w:val="24"/>
    </w:rPr>
  </w:style>
  <w:style w:type="paragraph" w:styleId="6">
    <w:name w:val="Body Text First Indent 2"/>
    <w:basedOn w:val="1"/>
    <w:qFormat/>
    <w:uiPriority w:val="0"/>
    <w:pPr>
      <w:spacing w:after="120"/>
      <w:ind w:left="420" w:leftChars="200" w:firstLine="420" w:firstLineChars="200"/>
    </w:pPr>
  </w:style>
  <w:style w:type="paragraph" w:styleId="7">
    <w:name w:val="Plain Text"/>
    <w:basedOn w:val="1"/>
    <w:qFormat/>
    <w:uiPriority w:val="99"/>
    <w:pPr>
      <w:spacing w:line="360" w:lineRule="auto"/>
    </w:pPr>
    <w:rPr>
      <w:rFonts w:ascii="宋体" w:hAnsi="Courier New"/>
      <w:kern w:val="0"/>
      <w:sz w:val="20"/>
      <w:szCs w:val="21"/>
    </w:rPr>
  </w:style>
  <w:style w:type="paragraph" w:styleId="8">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9">
    <w:name w:val="Normal (Web)"/>
    <w:basedOn w:val="1"/>
    <w:qFormat/>
    <w:uiPriority w:val="0"/>
    <w:rPr>
      <w:sz w:val="24"/>
    </w:rPr>
  </w:style>
  <w:style w:type="table" w:styleId="11">
    <w:name w:val="Table Grid"/>
    <w:basedOn w:val="10"/>
    <w:qFormat/>
    <w:uiPriority w:val="3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unhideWhenUsed/>
    <w:qFormat/>
    <w:uiPriority w:val="99"/>
    <w:pPr>
      <w:ind w:firstLine="420" w:firstLineChars="200"/>
    </w:pPr>
  </w:style>
  <w:style w:type="paragraph" w:customStyle="1" w:styleId="14">
    <w:name w:val="null3"/>
    <w:qFormat/>
    <w:uiPriority w:val="0"/>
    <w:rPr>
      <w:rFonts w:hint="eastAsia" w:ascii="Calibri" w:hAnsi="Calibri" w:eastAsia="宋体" w:cs="Times New Roman"/>
      <w:lang w:val="en-US" w:eastAsia="zh-Hans"/>
    </w:rPr>
  </w:style>
  <w:style w:type="paragraph" w:customStyle="1" w:styleId="15">
    <w:name w:val="List Paragraph_4d0a8ea8-4417-4d47-8822-603c652b3011"/>
    <w:basedOn w:val="1"/>
    <w:qFormat/>
    <w:uiPriority w:val="34"/>
    <w:pPr>
      <w:ind w:firstLine="420" w:firstLineChars="200"/>
    </w:pPr>
    <w:rPr>
      <w:szCs w:val="20"/>
    </w:rPr>
  </w:style>
  <w:style w:type="paragraph" w:customStyle="1" w:styleId="16">
    <w:name w:val="表格文字"/>
    <w:basedOn w:val="1"/>
    <w:qFormat/>
    <w:uiPriority w:val="0"/>
    <w:pPr>
      <w:spacing w:before="25" w:after="25" w:line="240" w:lineRule="auto"/>
      <w:ind w:firstLine="0"/>
      <w:jc w:val="left"/>
    </w:pPr>
    <w:rPr>
      <w:spacing w:val="10"/>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21</Pages>
  <Words>8416</Words>
  <Characters>9132</Characters>
  <Lines>0</Lines>
  <Paragraphs>0</Paragraphs>
  <TotalTime>2</TotalTime>
  <ScaleCrop>false</ScaleCrop>
  <LinksUpToDate>false</LinksUpToDate>
  <CharactersWithSpaces>9159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水英</cp:lastModifiedBy>
  <cp:lastPrinted>2026-07-13T07:25:00Z</cp:lastPrinted>
  <dcterms:modified xsi:type="dcterms:W3CDTF">2026-07-13T09:28:33Z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eyJoZGlkIjoiODMxYzRhMTRiMmM2OWI4ZGYwYzM2ZGU0OTk0ODM4ZjMiLCJ1c2VySWQiOiI4MDYxODg2NDYifQ==</vt:lpwstr>
  </property>
  <property fmtid="{D5CDD505-2E9C-101B-9397-08002B2CF9AE}" pid="4" name="ICV">
    <vt:lpwstr>917132309BB84847B92A7C0ED375E7D8_13</vt:lpwstr>
  </property>
</Properties>
</file>