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DBA83">
      <w:pPr>
        <w:pStyle w:val="5"/>
        <w:spacing w:beforeLines="50" w:afterLines="50" w:line="240" w:lineRule="auto"/>
        <w:ind w:firstLine="988" w:firstLineChars="328"/>
        <w:rPr>
          <w:rFonts w:asciiTheme="minorEastAsia" w:hAnsiTheme="minorEastAsia" w:eastAsiaTheme="minorEastAsia"/>
          <w:sz w:val="30"/>
          <w:szCs w:val="30"/>
        </w:rPr>
      </w:pPr>
      <w:bookmarkStart w:id="0" w:name="_Toc30050"/>
      <w:r>
        <w:rPr>
          <w:rFonts w:hint="eastAsia" w:asciiTheme="minorEastAsia" w:hAnsiTheme="minorEastAsia" w:eastAsiaTheme="minorEastAsia"/>
          <w:sz w:val="30"/>
          <w:szCs w:val="30"/>
        </w:rPr>
        <w:t>泉州市中医院中央空调维护保养服务项目</w:t>
      </w:r>
      <w:r>
        <w:rPr>
          <w:rFonts w:hint="eastAsia" w:asciiTheme="minorEastAsia" w:hAnsiTheme="minorEastAsia" w:eastAsiaTheme="minorEastAsia"/>
          <w:sz w:val="30"/>
          <w:szCs w:val="30"/>
          <w:lang w:val="en-US" w:eastAsia="zh-CN"/>
        </w:rPr>
        <w:t>市场</w:t>
      </w:r>
      <w:r>
        <w:rPr>
          <w:rFonts w:hint="eastAsia" w:asciiTheme="minorEastAsia" w:hAnsiTheme="minorEastAsia" w:eastAsiaTheme="minorEastAsia"/>
          <w:sz w:val="30"/>
          <w:szCs w:val="30"/>
        </w:rPr>
        <w:t>询价</w:t>
      </w:r>
    </w:p>
    <w:p w14:paraId="0F45BC47">
      <w:pPr>
        <w:ind w:firstLine="960" w:firstLineChars="400"/>
        <w:rPr>
          <w:rFonts w:asciiTheme="minorEastAsia" w:hAnsiTheme="minorEastAsia" w:eastAsiaTheme="minorEastAsia"/>
          <w:kern w:val="0"/>
          <w:sz w:val="24"/>
        </w:rPr>
      </w:pPr>
      <w:r>
        <w:rPr>
          <w:rFonts w:hint="eastAsia" w:asciiTheme="minorEastAsia" w:hAnsiTheme="minorEastAsia" w:eastAsiaTheme="minorEastAsia"/>
          <w:kern w:val="0"/>
          <w:sz w:val="24"/>
        </w:rPr>
        <w:t>泉州中医院中央空调维护保养服务项目进行</w:t>
      </w:r>
      <w:r>
        <w:rPr>
          <w:rFonts w:hint="eastAsia" w:asciiTheme="minorEastAsia" w:hAnsiTheme="minorEastAsia" w:eastAsiaTheme="minorEastAsia"/>
          <w:kern w:val="0"/>
          <w:sz w:val="24"/>
          <w:lang w:val="en-US" w:eastAsia="zh-CN"/>
        </w:rPr>
        <w:t>市场</w:t>
      </w:r>
      <w:r>
        <w:rPr>
          <w:rFonts w:hint="eastAsia" w:asciiTheme="minorEastAsia" w:hAnsiTheme="minorEastAsia" w:eastAsiaTheme="minorEastAsia"/>
          <w:kern w:val="0"/>
          <w:sz w:val="24"/>
        </w:rPr>
        <w:t>询价，欢迎国内具有资格条件</w:t>
      </w:r>
    </w:p>
    <w:p w14:paraId="46567A3A">
      <w:pPr>
        <w:rPr>
          <w:rFonts w:asciiTheme="minorEastAsia" w:hAnsiTheme="minorEastAsia" w:eastAsiaTheme="minorEastAsia"/>
          <w:kern w:val="0"/>
          <w:sz w:val="24"/>
        </w:rPr>
      </w:pPr>
      <w:r>
        <w:rPr>
          <w:rFonts w:hint="eastAsia" w:asciiTheme="minorEastAsia" w:hAnsiTheme="minorEastAsia" w:eastAsiaTheme="minorEastAsia"/>
          <w:kern w:val="0"/>
          <w:sz w:val="24"/>
        </w:rPr>
        <w:t>的供应商前来参加报价</w:t>
      </w:r>
    </w:p>
    <w:bookmarkEnd w:id="0"/>
    <w:p w14:paraId="2DC6A0A1">
      <w:pPr>
        <w:numPr>
          <w:ilvl w:val="0"/>
          <w:numId w:val="1"/>
        </w:numPr>
        <w:tabs>
          <w:tab w:val="left" w:pos="840"/>
          <w:tab w:val="left" w:pos="945"/>
          <w:tab w:val="left" w:pos="1050"/>
        </w:tabs>
        <w:spacing w:line="420" w:lineRule="exact"/>
        <w:rPr>
          <w:rFonts w:asciiTheme="minorEastAsia" w:hAnsiTheme="minorEastAsia" w:eastAsiaTheme="minorEastAsia"/>
          <w:b/>
          <w:sz w:val="24"/>
        </w:rPr>
      </w:pPr>
      <w:bookmarkStart w:id="1" w:name="_Toc29617"/>
      <w:bookmarkStart w:id="2" w:name="_Toc8684"/>
      <w:bookmarkStart w:id="3" w:name="_Toc22153"/>
      <w:bookmarkStart w:id="4" w:name="_Toc1083"/>
      <w:r>
        <w:rPr>
          <w:rFonts w:hint="eastAsia" w:cs="宋体" w:asciiTheme="minorEastAsia" w:hAnsiTheme="minorEastAsia" w:eastAsiaTheme="minorEastAsia"/>
          <w:b/>
          <w:sz w:val="24"/>
        </w:rPr>
        <w:t>项目概况</w:t>
      </w:r>
    </w:p>
    <w:p w14:paraId="3AED4C4E">
      <w:pPr>
        <w:tabs>
          <w:tab w:val="left" w:pos="840"/>
          <w:tab w:val="left" w:pos="945"/>
          <w:tab w:val="left" w:pos="1050"/>
        </w:tabs>
        <w:spacing w:line="420" w:lineRule="exact"/>
        <w:ind w:left="420"/>
        <w:rPr>
          <w:rFonts w:asciiTheme="minorEastAsia" w:hAnsiTheme="minorEastAsia" w:eastAsiaTheme="minorEastAsia"/>
          <w:sz w:val="24"/>
        </w:rPr>
      </w:pPr>
      <w:r>
        <w:rPr>
          <w:rFonts w:hint="eastAsia" w:asciiTheme="minorEastAsia" w:hAnsiTheme="minorEastAsia" w:eastAsiaTheme="minorEastAsia"/>
          <w:sz w:val="24"/>
        </w:rPr>
        <w:t>1</w:t>
      </w:r>
      <w:r>
        <w:rPr>
          <w:rFonts w:hint="eastAsia" w:cs="宋体" w:asciiTheme="minorEastAsia" w:hAnsiTheme="minorEastAsia" w:eastAsiaTheme="minorEastAsia"/>
          <w:sz w:val="24"/>
        </w:rPr>
        <w:t>、项目名称：泉州市中医院中央空调系统年度维保服务</w:t>
      </w:r>
    </w:p>
    <w:p w14:paraId="1CEABA5D">
      <w:pPr>
        <w:tabs>
          <w:tab w:val="left" w:pos="840"/>
          <w:tab w:val="left" w:pos="945"/>
          <w:tab w:val="left" w:pos="1050"/>
        </w:tabs>
        <w:spacing w:line="420" w:lineRule="exact"/>
        <w:ind w:left="420"/>
        <w:rPr>
          <w:rFonts w:hint="eastAsia" w:asciiTheme="minorEastAsia" w:hAnsiTheme="minorEastAsia" w:eastAsiaTheme="minorEastAsia"/>
          <w:sz w:val="24"/>
        </w:rPr>
      </w:pPr>
      <w:r>
        <w:rPr>
          <w:rFonts w:hint="eastAsia" w:asciiTheme="minorEastAsia" w:hAnsiTheme="minorEastAsia" w:eastAsiaTheme="minorEastAsia"/>
          <w:sz w:val="24"/>
        </w:rPr>
        <w:t>2</w:t>
      </w:r>
      <w:r>
        <w:rPr>
          <w:rFonts w:hint="eastAsia" w:cs="宋体" w:asciiTheme="minorEastAsia" w:hAnsiTheme="minorEastAsia" w:eastAsiaTheme="minorEastAsia"/>
          <w:sz w:val="24"/>
        </w:rPr>
        <w:t>、</w:t>
      </w:r>
      <w:r>
        <w:rPr>
          <w:rFonts w:hint="eastAsia" w:asciiTheme="minorEastAsia" w:hAnsiTheme="minorEastAsia" w:eastAsiaTheme="minorEastAsia"/>
          <w:sz w:val="24"/>
        </w:rPr>
        <w:t>保养周期：</w:t>
      </w:r>
      <w:r>
        <w:rPr>
          <w:rFonts w:hint="eastAsia" w:asciiTheme="minorEastAsia" w:hAnsiTheme="minorEastAsia" w:eastAsiaTheme="minorEastAsia"/>
          <w:sz w:val="24"/>
          <w:u w:val="single"/>
        </w:rPr>
        <w:t xml:space="preserve"> 2  </w:t>
      </w:r>
      <w:r>
        <w:rPr>
          <w:rFonts w:hint="eastAsia" w:asciiTheme="minorEastAsia" w:hAnsiTheme="minorEastAsia" w:eastAsiaTheme="minorEastAsia"/>
          <w:sz w:val="24"/>
        </w:rPr>
        <w:t>年</w:t>
      </w:r>
    </w:p>
    <w:p w14:paraId="506F6307">
      <w:pPr>
        <w:tabs>
          <w:tab w:val="left" w:pos="840"/>
          <w:tab w:val="left" w:pos="945"/>
          <w:tab w:val="left" w:pos="1050"/>
        </w:tabs>
        <w:spacing w:line="420" w:lineRule="exact"/>
        <w:ind w:left="420"/>
        <w:rPr>
          <w:rFonts w:hint="default" w:asciiTheme="minorEastAsia" w:hAnsiTheme="minorEastAsia" w:eastAsiaTheme="minorEastAsia"/>
          <w:sz w:val="24"/>
          <w:u w:val="single"/>
          <w:lang w:val="en-US" w:eastAsia="zh-CN"/>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最高控制价：35万元</w:t>
      </w:r>
    </w:p>
    <w:p w14:paraId="73B6680F">
      <w:pPr>
        <w:numPr>
          <w:ilvl w:val="0"/>
          <w:numId w:val="1"/>
        </w:num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服务项目一览表</w:t>
      </w:r>
    </w:p>
    <w:tbl>
      <w:tblPr>
        <w:tblStyle w:val="11"/>
        <w:tblW w:w="9302" w:type="dxa"/>
        <w:tblInd w:w="93" w:type="dxa"/>
        <w:tblLayout w:type="autofit"/>
        <w:tblCellMar>
          <w:top w:w="0" w:type="dxa"/>
          <w:left w:w="108" w:type="dxa"/>
          <w:bottom w:w="0" w:type="dxa"/>
          <w:right w:w="108" w:type="dxa"/>
        </w:tblCellMar>
      </w:tblPr>
      <w:tblGrid>
        <w:gridCol w:w="460"/>
        <w:gridCol w:w="890"/>
        <w:gridCol w:w="3655"/>
        <w:gridCol w:w="999"/>
        <w:gridCol w:w="3298"/>
      </w:tblGrid>
      <w:tr w14:paraId="1F728D1B">
        <w:tblPrEx>
          <w:tblCellMar>
            <w:top w:w="0" w:type="dxa"/>
            <w:left w:w="108" w:type="dxa"/>
            <w:bottom w:w="0" w:type="dxa"/>
            <w:right w:w="108" w:type="dxa"/>
          </w:tblCellMar>
        </w:tblPrEx>
        <w:trPr>
          <w:trHeight w:val="286" w:hRule="atLeast"/>
        </w:trPr>
        <w:tc>
          <w:tcPr>
            <w:tcW w:w="460" w:type="dxa"/>
            <w:tcBorders>
              <w:top w:val="single" w:color="auto" w:sz="4" w:space="0"/>
              <w:left w:val="single" w:color="auto" w:sz="4" w:space="0"/>
              <w:bottom w:val="single" w:color="auto" w:sz="4" w:space="0"/>
              <w:right w:val="single" w:color="auto" w:sz="4" w:space="0"/>
            </w:tcBorders>
            <w:noWrap/>
            <w:vAlign w:val="bottom"/>
          </w:tcPr>
          <w:p w14:paraId="06EA6816">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890" w:type="dxa"/>
            <w:tcBorders>
              <w:top w:val="single" w:color="auto" w:sz="4" w:space="0"/>
              <w:left w:val="nil"/>
              <w:bottom w:val="single" w:color="auto" w:sz="4" w:space="0"/>
              <w:right w:val="single" w:color="auto" w:sz="4" w:space="0"/>
            </w:tcBorders>
            <w:noWrap/>
            <w:vAlign w:val="bottom"/>
          </w:tcPr>
          <w:p w14:paraId="59EEA4FC">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项目名称</w:t>
            </w:r>
          </w:p>
        </w:tc>
        <w:tc>
          <w:tcPr>
            <w:tcW w:w="3655" w:type="dxa"/>
            <w:tcBorders>
              <w:top w:val="single" w:color="auto" w:sz="4" w:space="0"/>
              <w:left w:val="nil"/>
              <w:bottom w:val="single" w:color="auto" w:sz="4" w:space="0"/>
              <w:right w:val="single" w:color="auto" w:sz="4" w:space="0"/>
            </w:tcBorders>
            <w:noWrap/>
            <w:vAlign w:val="bottom"/>
          </w:tcPr>
          <w:p w14:paraId="6E294F37">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详细设备</w:t>
            </w:r>
          </w:p>
        </w:tc>
        <w:tc>
          <w:tcPr>
            <w:tcW w:w="999" w:type="dxa"/>
            <w:tcBorders>
              <w:top w:val="single" w:color="auto" w:sz="4" w:space="0"/>
              <w:left w:val="nil"/>
              <w:bottom w:val="single" w:color="auto" w:sz="4" w:space="0"/>
              <w:right w:val="single" w:color="auto" w:sz="4" w:space="0"/>
            </w:tcBorders>
            <w:noWrap/>
            <w:vAlign w:val="bottom"/>
          </w:tcPr>
          <w:p w14:paraId="1D60EAF1">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数量</w:t>
            </w:r>
          </w:p>
        </w:tc>
        <w:tc>
          <w:tcPr>
            <w:tcW w:w="3298" w:type="dxa"/>
            <w:tcBorders>
              <w:top w:val="single" w:color="auto" w:sz="4" w:space="0"/>
              <w:left w:val="nil"/>
              <w:bottom w:val="single" w:color="auto" w:sz="4" w:space="0"/>
              <w:right w:val="single" w:color="auto" w:sz="4" w:space="0"/>
            </w:tcBorders>
            <w:noWrap/>
            <w:vAlign w:val="bottom"/>
          </w:tcPr>
          <w:p w14:paraId="20F5963A">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维保内容</w:t>
            </w:r>
          </w:p>
        </w:tc>
      </w:tr>
      <w:tr w14:paraId="39699C5E">
        <w:tblPrEx>
          <w:tblCellMar>
            <w:top w:w="0" w:type="dxa"/>
            <w:left w:w="108" w:type="dxa"/>
            <w:bottom w:w="0" w:type="dxa"/>
            <w:right w:w="108" w:type="dxa"/>
          </w:tblCellMar>
        </w:tblPrEx>
        <w:trPr>
          <w:trHeight w:val="20" w:hRule="atLeast"/>
        </w:trPr>
        <w:tc>
          <w:tcPr>
            <w:tcW w:w="460" w:type="dxa"/>
            <w:tcBorders>
              <w:top w:val="nil"/>
              <w:left w:val="single" w:color="auto" w:sz="4" w:space="0"/>
              <w:bottom w:val="single" w:color="auto" w:sz="4" w:space="0"/>
              <w:right w:val="single" w:color="auto" w:sz="4" w:space="0"/>
            </w:tcBorders>
            <w:noWrap/>
            <w:vAlign w:val="center"/>
          </w:tcPr>
          <w:p w14:paraId="39FC8579">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890" w:type="dxa"/>
            <w:vMerge w:val="restart"/>
            <w:tcBorders>
              <w:top w:val="nil"/>
              <w:left w:val="single" w:color="auto" w:sz="4" w:space="0"/>
              <w:bottom w:val="single" w:color="auto" w:sz="4" w:space="0"/>
              <w:right w:val="single" w:color="auto" w:sz="4" w:space="0"/>
            </w:tcBorders>
            <w:vAlign w:val="center"/>
          </w:tcPr>
          <w:p w14:paraId="79040A84">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中央空调主机设备保养</w:t>
            </w:r>
          </w:p>
        </w:tc>
        <w:tc>
          <w:tcPr>
            <w:tcW w:w="3655" w:type="dxa"/>
            <w:tcBorders>
              <w:top w:val="nil"/>
              <w:left w:val="nil"/>
              <w:bottom w:val="single" w:color="auto" w:sz="4" w:space="0"/>
              <w:right w:val="single" w:color="auto" w:sz="4" w:space="0"/>
            </w:tcBorders>
            <w:vAlign w:val="center"/>
          </w:tcPr>
          <w:p w14:paraId="2E46D052">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能源中心约克10KV 高压YK离心空调主机（1000RT）</w:t>
            </w:r>
          </w:p>
        </w:tc>
        <w:tc>
          <w:tcPr>
            <w:tcW w:w="999" w:type="dxa"/>
            <w:tcBorders>
              <w:top w:val="nil"/>
              <w:left w:val="nil"/>
              <w:bottom w:val="single" w:color="auto" w:sz="4" w:space="0"/>
              <w:right w:val="single" w:color="auto" w:sz="4" w:space="0"/>
            </w:tcBorders>
            <w:vAlign w:val="center"/>
          </w:tcPr>
          <w:p w14:paraId="5DF9C43E">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c>
          <w:tcPr>
            <w:tcW w:w="3298" w:type="dxa"/>
            <w:vMerge w:val="restart"/>
            <w:tcBorders>
              <w:top w:val="nil"/>
              <w:left w:val="single" w:color="auto" w:sz="4" w:space="0"/>
              <w:bottom w:val="single" w:color="000000" w:sz="4" w:space="0"/>
              <w:right w:val="single" w:color="auto" w:sz="4" w:space="0"/>
            </w:tcBorders>
            <w:vAlign w:val="center"/>
          </w:tcPr>
          <w:p w14:paraId="7A4A92A2">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1、制冷运行期每月2次（停机期：每月1次）派员对机组进行巡检、维护保养</w:t>
            </w:r>
          </w:p>
          <w:p w14:paraId="6556CEFB">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2、每年对机组开机/停机各进行一次全面大检查大清洗保养</w:t>
            </w:r>
          </w:p>
          <w:p w14:paraId="2097AF42">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3、合同期内，全天24小时提供机组故障应急检修服务</w:t>
            </w:r>
          </w:p>
          <w:p w14:paraId="4912AD10">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（详见技术附件）</w:t>
            </w:r>
          </w:p>
        </w:tc>
      </w:tr>
      <w:tr w14:paraId="68E3EFD2">
        <w:tblPrEx>
          <w:tblCellMar>
            <w:top w:w="0" w:type="dxa"/>
            <w:left w:w="108" w:type="dxa"/>
            <w:bottom w:w="0" w:type="dxa"/>
            <w:right w:w="108" w:type="dxa"/>
          </w:tblCellMar>
        </w:tblPrEx>
        <w:trPr>
          <w:trHeight w:val="20" w:hRule="atLeast"/>
        </w:trPr>
        <w:tc>
          <w:tcPr>
            <w:tcW w:w="460" w:type="dxa"/>
            <w:tcBorders>
              <w:top w:val="nil"/>
              <w:left w:val="single" w:color="auto" w:sz="4" w:space="0"/>
              <w:bottom w:val="single" w:color="auto" w:sz="4" w:space="0"/>
              <w:right w:val="single" w:color="auto" w:sz="4" w:space="0"/>
            </w:tcBorders>
            <w:noWrap/>
            <w:vAlign w:val="center"/>
          </w:tcPr>
          <w:p w14:paraId="19017A3E">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890" w:type="dxa"/>
            <w:vMerge w:val="continue"/>
            <w:tcBorders>
              <w:top w:val="nil"/>
              <w:left w:val="single" w:color="auto" w:sz="4" w:space="0"/>
              <w:bottom w:val="single" w:color="auto" w:sz="4" w:space="0"/>
              <w:right w:val="single" w:color="auto" w:sz="4" w:space="0"/>
            </w:tcBorders>
            <w:vAlign w:val="center"/>
          </w:tcPr>
          <w:p w14:paraId="43D554CC">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53AD5AA0">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能源中心约克YK离心空调主机（500RT）</w:t>
            </w:r>
          </w:p>
        </w:tc>
        <w:tc>
          <w:tcPr>
            <w:tcW w:w="999" w:type="dxa"/>
            <w:tcBorders>
              <w:top w:val="nil"/>
              <w:left w:val="nil"/>
              <w:bottom w:val="single" w:color="auto" w:sz="4" w:space="0"/>
              <w:right w:val="single" w:color="auto" w:sz="4" w:space="0"/>
            </w:tcBorders>
            <w:vAlign w:val="center"/>
          </w:tcPr>
          <w:p w14:paraId="651D494F">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c>
          <w:tcPr>
            <w:tcW w:w="3298" w:type="dxa"/>
            <w:vMerge w:val="continue"/>
            <w:tcBorders>
              <w:top w:val="nil"/>
              <w:left w:val="single" w:color="auto" w:sz="4" w:space="0"/>
              <w:bottom w:val="single" w:color="000000" w:sz="4" w:space="0"/>
              <w:right w:val="single" w:color="auto" w:sz="4" w:space="0"/>
            </w:tcBorders>
            <w:vAlign w:val="center"/>
          </w:tcPr>
          <w:p w14:paraId="291B3396">
            <w:pPr>
              <w:widowControl/>
              <w:jc w:val="left"/>
              <w:rPr>
                <w:rFonts w:cs="宋体" w:asciiTheme="minorEastAsia" w:hAnsiTheme="minorEastAsia" w:eastAsiaTheme="minorEastAsia"/>
                <w:kern w:val="0"/>
                <w:szCs w:val="21"/>
              </w:rPr>
            </w:pPr>
          </w:p>
        </w:tc>
      </w:tr>
      <w:tr w14:paraId="5EADF7B4">
        <w:tblPrEx>
          <w:tblCellMar>
            <w:top w:w="0" w:type="dxa"/>
            <w:left w:w="108" w:type="dxa"/>
            <w:bottom w:w="0" w:type="dxa"/>
            <w:right w:w="108" w:type="dxa"/>
          </w:tblCellMar>
        </w:tblPrEx>
        <w:trPr>
          <w:trHeight w:val="20" w:hRule="atLeast"/>
        </w:trPr>
        <w:tc>
          <w:tcPr>
            <w:tcW w:w="460" w:type="dxa"/>
            <w:tcBorders>
              <w:top w:val="nil"/>
              <w:left w:val="single" w:color="auto" w:sz="4" w:space="0"/>
              <w:bottom w:val="single" w:color="auto" w:sz="4" w:space="0"/>
              <w:right w:val="single" w:color="auto" w:sz="4" w:space="0"/>
            </w:tcBorders>
            <w:noWrap/>
            <w:vAlign w:val="center"/>
          </w:tcPr>
          <w:p w14:paraId="29603173">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890" w:type="dxa"/>
            <w:vMerge w:val="continue"/>
            <w:tcBorders>
              <w:top w:val="nil"/>
              <w:left w:val="single" w:color="auto" w:sz="4" w:space="0"/>
              <w:bottom w:val="single" w:color="auto" w:sz="4" w:space="0"/>
              <w:right w:val="single" w:color="auto" w:sz="4" w:space="0"/>
            </w:tcBorders>
            <w:vAlign w:val="center"/>
          </w:tcPr>
          <w:p w14:paraId="561B28FE">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3BEED903">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裙楼屋面约克YLAA风冷涡旋主机（350KW）</w:t>
            </w:r>
          </w:p>
        </w:tc>
        <w:tc>
          <w:tcPr>
            <w:tcW w:w="999" w:type="dxa"/>
            <w:tcBorders>
              <w:top w:val="nil"/>
              <w:left w:val="nil"/>
              <w:bottom w:val="single" w:color="auto" w:sz="4" w:space="0"/>
              <w:right w:val="single" w:color="auto" w:sz="4" w:space="0"/>
            </w:tcBorders>
            <w:vAlign w:val="center"/>
          </w:tcPr>
          <w:p w14:paraId="7B29D70F">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c>
          <w:tcPr>
            <w:tcW w:w="3298" w:type="dxa"/>
            <w:vMerge w:val="continue"/>
            <w:tcBorders>
              <w:top w:val="nil"/>
              <w:left w:val="single" w:color="auto" w:sz="4" w:space="0"/>
              <w:bottom w:val="single" w:color="000000" w:sz="4" w:space="0"/>
              <w:right w:val="single" w:color="auto" w:sz="4" w:space="0"/>
            </w:tcBorders>
            <w:vAlign w:val="center"/>
          </w:tcPr>
          <w:p w14:paraId="12E30FBF">
            <w:pPr>
              <w:widowControl/>
              <w:jc w:val="left"/>
              <w:rPr>
                <w:rFonts w:cs="宋体" w:asciiTheme="minorEastAsia" w:hAnsiTheme="minorEastAsia" w:eastAsiaTheme="minorEastAsia"/>
                <w:kern w:val="0"/>
                <w:szCs w:val="21"/>
              </w:rPr>
            </w:pPr>
          </w:p>
        </w:tc>
      </w:tr>
      <w:tr w14:paraId="56ADAE58">
        <w:tblPrEx>
          <w:tblCellMar>
            <w:top w:w="0" w:type="dxa"/>
            <w:left w:w="108" w:type="dxa"/>
            <w:bottom w:w="0" w:type="dxa"/>
            <w:right w:w="108" w:type="dxa"/>
          </w:tblCellMar>
        </w:tblPrEx>
        <w:trPr>
          <w:trHeight w:val="20" w:hRule="atLeast"/>
        </w:trPr>
        <w:tc>
          <w:tcPr>
            <w:tcW w:w="460" w:type="dxa"/>
            <w:tcBorders>
              <w:top w:val="nil"/>
              <w:left w:val="single" w:color="auto" w:sz="4" w:space="0"/>
              <w:bottom w:val="single" w:color="auto" w:sz="4" w:space="0"/>
              <w:right w:val="single" w:color="auto" w:sz="4" w:space="0"/>
            </w:tcBorders>
            <w:noWrap/>
            <w:vAlign w:val="center"/>
          </w:tcPr>
          <w:p w14:paraId="170B2343">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890" w:type="dxa"/>
            <w:vMerge w:val="continue"/>
            <w:tcBorders>
              <w:top w:val="nil"/>
              <w:left w:val="single" w:color="auto" w:sz="4" w:space="0"/>
              <w:bottom w:val="single" w:color="auto" w:sz="4" w:space="0"/>
              <w:right w:val="single" w:color="auto" w:sz="4" w:space="0"/>
            </w:tcBorders>
            <w:vAlign w:val="center"/>
          </w:tcPr>
          <w:p w14:paraId="6C40C003">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72427779">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裙楼屋面约克YLPA风冷涡旋主机（365KW）</w:t>
            </w:r>
          </w:p>
        </w:tc>
        <w:tc>
          <w:tcPr>
            <w:tcW w:w="999" w:type="dxa"/>
            <w:tcBorders>
              <w:top w:val="nil"/>
              <w:left w:val="nil"/>
              <w:bottom w:val="single" w:color="auto" w:sz="4" w:space="0"/>
              <w:right w:val="single" w:color="auto" w:sz="4" w:space="0"/>
            </w:tcBorders>
            <w:vAlign w:val="center"/>
          </w:tcPr>
          <w:p w14:paraId="41EC6CCE">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c>
          <w:tcPr>
            <w:tcW w:w="3298" w:type="dxa"/>
            <w:vMerge w:val="continue"/>
            <w:tcBorders>
              <w:top w:val="nil"/>
              <w:left w:val="single" w:color="auto" w:sz="4" w:space="0"/>
              <w:bottom w:val="single" w:color="000000" w:sz="4" w:space="0"/>
              <w:right w:val="single" w:color="auto" w:sz="4" w:space="0"/>
            </w:tcBorders>
            <w:vAlign w:val="center"/>
          </w:tcPr>
          <w:p w14:paraId="6D36AA43">
            <w:pPr>
              <w:widowControl/>
              <w:jc w:val="left"/>
              <w:rPr>
                <w:rFonts w:cs="宋体" w:asciiTheme="minorEastAsia" w:hAnsiTheme="minorEastAsia" w:eastAsiaTheme="minorEastAsia"/>
                <w:kern w:val="0"/>
                <w:szCs w:val="21"/>
              </w:rPr>
            </w:pPr>
          </w:p>
        </w:tc>
      </w:tr>
      <w:tr w14:paraId="2A0AEC6E">
        <w:tblPrEx>
          <w:tblCellMar>
            <w:top w:w="0" w:type="dxa"/>
            <w:left w:w="108" w:type="dxa"/>
            <w:bottom w:w="0" w:type="dxa"/>
            <w:right w:w="108" w:type="dxa"/>
          </w:tblCellMar>
        </w:tblPrEx>
        <w:trPr>
          <w:trHeight w:val="20" w:hRule="atLeast"/>
        </w:trPr>
        <w:tc>
          <w:tcPr>
            <w:tcW w:w="460" w:type="dxa"/>
            <w:tcBorders>
              <w:top w:val="nil"/>
              <w:left w:val="single" w:color="auto" w:sz="4" w:space="0"/>
              <w:bottom w:val="single" w:color="auto" w:sz="4" w:space="0"/>
              <w:right w:val="single" w:color="auto" w:sz="4" w:space="0"/>
            </w:tcBorders>
            <w:noWrap/>
            <w:vAlign w:val="center"/>
          </w:tcPr>
          <w:p w14:paraId="1DBDE2E7">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890" w:type="dxa"/>
            <w:vMerge w:val="continue"/>
            <w:tcBorders>
              <w:top w:val="nil"/>
              <w:left w:val="single" w:color="auto" w:sz="4" w:space="0"/>
              <w:bottom w:val="single" w:color="auto" w:sz="4" w:space="0"/>
              <w:right w:val="single" w:color="auto" w:sz="4" w:space="0"/>
            </w:tcBorders>
            <w:vAlign w:val="center"/>
          </w:tcPr>
          <w:p w14:paraId="4A195220">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28E301EB">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能源中心约克高压启动柜</w:t>
            </w:r>
          </w:p>
        </w:tc>
        <w:tc>
          <w:tcPr>
            <w:tcW w:w="999" w:type="dxa"/>
            <w:tcBorders>
              <w:top w:val="nil"/>
              <w:left w:val="nil"/>
              <w:bottom w:val="single" w:color="auto" w:sz="4" w:space="0"/>
              <w:right w:val="single" w:color="auto" w:sz="4" w:space="0"/>
            </w:tcBorders>
            <w:vAlign w:val="center"/>
          </w:tcPr>
          <w:p w14:paraId="15B978EC">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2个</w:t>
            </w:r>
          </w:p>
        </w:tc>
        <w:tc>
          <w:tcPr>
            <w:tcW w:w="3298" w:type="dxa"/>
            <w:vMerge w:val="continue"/>
            <w:tcBorders>
              <w:top w:val="nil"/>
              <w:left w:val="single" w:color="auto" w:sz="4" w:space="0"/>
              <w:bottom w:val="single" w:color="000000" w:sz="4" w:space="0"/>
              <w:right w:val="single" w:color="auto" w:sz="4" w:space="0"/>
            </w:tcBorders>
            <w:vAlign w:val="center"/>
          </w:tcPr>
          <w:p w14:paraId="2072C0C4">
            <w:pPr>
              <w:widowControl/>
              <w:jc w:val="left"/>
              <w:rPr>
                <w:rFonts w:cs="宋体" w:asciiTheme="minorEastAsia" w:hAnsiTheme="minorEastAsia" w:eastAsiaTheme="minorEastAsia"/>
                <w:kern w:val="0"/>
                <w:szCs w:val="21"/>
              </w:rPr>
            </w:pPr>
          </w:p>
        </w:tc>
      </w:tr>
      <w:tr w14:paraId="00FC8781">
        <w:tblPrEx>
          <w:tblCellMar>
            <w:top w:w="0" w:type="dxa"/>
            <w:left w:w="108" w:type="dxa"/>
            <w:bottom w:w="0" w:type="dxa"/>
            <w:right w:w="108" w:type="dxa"/>
          </w:tblCellMar>
        </w:tblPrEx>
        <w:trPr>
          <w:trHeight w:val="20" w:hRule="atLeast"/>
        </w:trPr>
        <w:tc>
          <w:tcPr>
            <w:tcW w:w="460" w:type="dxa"/>
            <w:tcBorders>
              <w:top w:val="nil"/>
              <w:left w:val="single" w:color="auto" w:sz="4" w:space="0"/>
              <w:bottom w:val="single" w:color="auto" w:sz="4" w:space="0"/>
              <w:right w:val="single" w:color="auto" w:sz="4" w:space="0"/>
            </w:tcBorders>
            <w:noWrap/>
            <w:vAlign w:val="center"/>
          </w:tcPr>
          <w:p w14:paraId="2E85331D">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890" w:type="dxa"/>
            <w:vMerge w:val="continue"/>
            <w:tcBorders>
              <w:top w:val="nil"/>
              <w:left w:val="single" w:color="auto" w:sz="4" w:space="0"/>
              <w:bottom w:val="single" w:color="auto" w:sz="4" w:space="0"/>
              <w:right w:val="single" w:color="auto" w:sz="4" w:space="0"/>
            </w:tcBorders>
            <w:vAlign w:val="center"/>
          </w:tcPr>
          <w:p w14:paraId="6CBF315B">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1FA92733">
            <w:pPr>
              <w:widowControl/>
              <w:jc w:val="center"/>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u w:val="single"/>
              </w:rPr>
              <w:t>约克YCAE风冷涡旋机组</w:t>
            </w:r>
          </w:p>
          <w:p w14:paraId="0DE13BD7">
            <w:pPr>
              <w:widowControl/>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u w:val="single"/>
              </w:rPr>
              <w:t>（门诊屋面6台）康复科、针炙科</w:t>
            </w:r>
          </w:p>
        </w:tc>
        <w:tc>
          <w:tcPr>
            <w:tcW w:w="999" w:type="dxa"/>
            <w:tcBorders>
              <w:top w:val="nil"/>
              <w:left w:val="nil"/>
              <w:bottom w:val="single" w:color="auto" w:sz="4" w:space="0"/>
              <w:right w:val="single" w:color="auto" w:sz="4" w:space="0"/>
            </w:tcBorders>
            <w:vAlign w:val="center"/>
          </w:tcPr>
          <w:p w14:paraId="6162A4E8">
            <w:pPr>
              <w:widowControl/>
              <w:jc w:val="center"/>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u w:val="single"/>
              </w:rPr>
              <w:t>3组</w:t>
            </w:r>
          </w:p>
        </w:tc>
        <w:tc>
          <w:tcPr>
            <w:tcW w:w="3298" w:type="dxa"/>
            <w:tcBorders>
              <w:top w:val="nil"/>
              <w:left w:val="nil"/>
              <w:bottom w:val="single" w:color="auto" w:sz="4" w:space="0"/>
              <w:right w:val="single" w:color="auto" w:sz="4" w:space="0"/>
            </w:tcBorders>
            <w:vAlign w:val="center"/>
          </w:tcPr>
          <w:p w14:paraId="1976C448">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 每年对机组开机/停机各进行一次全面大检查保养</w:t>
            </w:r>
          </w:p>
          <w:p w14:paraId="581D6CA4">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 提供机组故障应急检修服务</w:t>
            </w:r>
          </w:p>
        </w:tc>
      </w:tr>
      <w:tr w14:paraId="6BFFB446">
        <w:tblPrEx>
          <w:tblCellMar>
            <w:top w:w="0" w:type="dxa"/>
            <w:left w:w="108" w:type="dxa"/>
            <w:bottom w:w="0" w:type="dxa"/>
            <w:right w:w="108" w:type="dxa"/>
          </w:tblCellMar>
        </w:tblPrEx>
        <w:trPr>
          <w:trHeight w:val="20" w:hRule="atLeast"/>
        </w:trPr>
        <w:tc>
          <w:tcPr>
            <w:tcW w:w="460" w:type="dxa"/>
            <w:tcBorders>
              <w:top w:val="nil"/>
              <w:left w:val="single" w:color="auto" w:sz="4" w:space="0"/>
              <w:bottom w:val="single" w:color="auto" w:sz="4" w:space="0"/>
              <w:right w:val="single" w:color="auto" w:sz="4" w:space="0"/>
            </w:tcBorders>
            <w:noWrap/>
            <w:vAlign w:val="center"/>
          </w:tcPr>
          <w:p w14:paraId="65DBEB67">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890" w:type="dxa"/>
            <w:vMerge w:val="continue"/>
            <w:tcBorders>
              <w:top w:val="nil"/>
              <w:left w:val="single" w:color="auto" w:sz="4" w:space="0"/>
              <w:bottom w:val="single" w:color="auto" w:sz="4" w:space="0"/>
              <w:right w:val="single" w:color="auto" w:sz="4" w:space="0"/>
            </w:tcBorders>
            <w:vAlign w:val="center"/>
          </w:tcPr>
          <w:p w14:paraId="49082982">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582D46B7">
            <w:pPr>
              <w:widowControl/>
              <w:jc w:val="center"/>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u w:val="single"/>
              </w:rPr>
              <w:t>天加TCA主机（核酸中心）</w:t>
            </w:r>
          </w:p>
        </w:tc>
        <w:tc>
          <w:tcPr>
            <w:tcW w:w="999" w:type="dxa"/>
            <w:tcBorders>
              <w:top w:val="nil"/>
              <w:left w:val="nil"/>
              <w:bottom w:val="single" w:color="auto" w:sz="4" w:space="0"/>
              <w:right w:val="single" w:color="auto" w:sz="4" w:space="0"/>
            </w:tcBorders>
            <w:vAlign w:val="center"/>
          </w:tcPr>
          <w:p w14:paraId="7A493E18">
            <w:pPr>
              <w:widowControl/>
              <w:jc w:val="center"/>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u w:val="single"/>
              </w:rPr>
              <w:t>7台</w:t>
            </w:r>
          </w:p>
        </w:tc>
        <w:tc>
          <w:tcPr>
            <w:tcW w:w="3298" w:type="dxa"/>
            <w:tcBorders>
              <w:top w:val="nil"/>
              <w:left w:val="nil"/>
              <w:bottom w:val="single" w:color="auto" w:sz="4" w:space="0"/>
              <w:right w:val="single" w:color="auto" w:sz="4" w:space="0"/>
            </w:tcBorders>
            <w:vAlign w:val="center"/>
          </w:tcPr>
          <w:p w14:paraId="203E29DE">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 每年对机组开机/停机各进行一次全面大检查保养</w:t>
            </w:r>
          </w:p>
          <w:p w14:paraId="2BF8DF44">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 提供机组故障应急检修服务</w:t>
            </w:r>
          </w:p>
        </w:tc>
      </w:tr>
      <w:tr w14:paraId="2AC7BE9D">
        <w:tblPrEx>
          <w:tblCellMar>
            <w:top w:w="0" w:type="dxa"/>
            <w:left w:w="108" w:type="dxa"/>
            <w:bottom w:w="0" w:type="dxa"/>
            <w:right w:w="108" w:type="dxa"/>
          </w:tblCellMar>
        </w:tblPrEx>
        <w:trPr>
          <w:trHeight w:val="20" w:hRule="atLeast"/>
        </w:trPr>
        <w:tc>
          <w:tcPr>
            <w:tcW w:w="460" w:type="dxa"/>
            <w:tcBorders>
              <w:top w:val="nil"/>
              <w:left w:val="single" w:color="auto" w:sz="4" w:space="0"/>
              <w:bottom w:val="single" w:color="auto" w:sz="4" w:space="0"/>
              <w:right w:val="single" w:color="auto" w:sz="4" w:space="0"/>
            </w:tcBorders>
            <w:noWrap/>
            <w:vAlign w:val="center"/>
          </w:tcPr>
          <w:p w14:paraId="71914A2D">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890" w:type="dxa"/>
            <w:vMerge w:val="continue"/>
            <w:tcBorders>
              <w:top w:val="nil"/>
              <w:left w:val="single" w:color="auto" w:sz="4" w:space="0"/>
              <w:bottom w:val="single" w:color="auto" w:sz="4" w:space="0"/>
              <w:right w:val="single" w:color="auto" w:sz="4" w:space="0"/>
            </w:tcBorders>
            <w:vAlign w:val="center"/>
          </w:tcPr>
          <w:p w14:paraId="7E737732">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08D0759C">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放射科三菱多联机主机（40KW）</w:t>
            </w:r>
          </w:p>
        </w:tc>
        <w:tc>
          <w:tcPr>
            <w:tcW w:w="999" w:type="dxa"/>
            <w:tcBorders>
              <w:top w:val="nil"/>
              <w:left w:val="nil"/>
              <w:bottom w:val="single" w:color="auto" w:sz="4" w:space="0"/>
              <w:right w:val="single" w:color="auto" w:sz="4" w:space="0"/>
            </w:tcBorders>
            <w:vAlign w:val="center"/>
          </w:tcPr>
          <w:p w14:paraId="32193A38">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c>
          <w:tcPr>
            <w:tcW w:w="3298" w:type="dxa"/>
            <w:tcBorders>
              <w:top w:val="nil"/>
              <w:left w:val="nil"/>
              <w:bottom w:val="single" w:color="auto" w:sz="4" w:space="0"/>
              <w:right w:val="single" w:color="auto" w:sz="4" w:space="0"/>
            </w:tcBorders>
            <w:vAlign w:val="center"/>
          </w:tcPr>
          <w:p w14:paraId="621B5EA6">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 每年对机组开机/停机各进行一次全面大检查保养</w:t>
            </w:r>
          </w:p>
          <w:p w14:paraId="6CF67E87">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 提供机组故障应急检修服务</w:t>
            </w:r>
          </w:p>
        </w:tc>
      </w:tr>
      <w:tr w14:paraId="45E194AB">
        <w:tblPrEx>
          <w:tblCellMar>
            <w:top w:w="0" w:type="dxa"/>
            <w:left w:w="108" w:type="dxa"/>
            <w:bottom w:w="0" w:type="dxa"/>
            <w:right w:w="108" w:type="dxa"/>
          </w:tblCellMar>
        </w:tblPrEx>
        <w:trPr>
          <w:trHeight w:val="20" w:hRule="atLeast"/>
        </w:trPr>
        <w:tc>
          <w:tcPr>
            <w:tcW w:w="460" w:type="dxa"/>
            <w:tcBorders>
              <w:top w:val="nil"/>
              <w:left w:val="single" w:color="auto" w:sz="4" w:space="0"/>
              <w:bottom w:val="single" w:color="auto" w:sz="4" w:space="0"/>
              <w:right w:val="single" w:color="auto" w:sz="4" w:space="0"/>
            </w:tcBorders>
            <w:noWrap/>
            <w:vAlign w:val="center"/>
          </w:tcPr>
          <w:p w14:paraId="0CD6FCC4">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890" w:type="dxa"/>
            <w:vMerge w:val="continue"/>
            <w:tcBorders>
              <w:top w:val="nil"/>
              <w:left w:val="single" w:color="auto" w:sz="4" w:space="0"/>
              <w:bottom w:val="single" w:color="auto" w:sz="4" w:space="0"/>
              <w:right w:val="single" w:color="auto" w:sz="4" w:space="0"/>
            </w:tcBorders>
            <w:vAlign w:val="center"/>
          </w:tcPr>
          <w:p w14:paraId="36E626BF">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050D439B">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检验科天加TCA主机（66KW）</w:t>
            </w:r>
          </w:p>
        </w:tc>
        <w:tc>
          <w:tcPr>
            <w:tcW w:w="999" w:type="dxa"/>
            <w:tcBorders>
              <w:top w:val="nil"/>
              <w:left w:val="nil"/>
              <w:bottom w:val="single" w:color="auto" w:sz="4" w:space="0"/>
              <w:right w:val="single" w:color="auto" w:sz="4" w:space="0"/>
            </w:tcBorders>
            <w:vAlign w:val="center"/>
          </w:tcPr>
          <w:p w14:paraId="12859F70">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3台</w:t>
            </w:r>
          </w:p>
        </w:tc>
        <w:tc>
          <w:tcPr>
            <w:tcW w:w="3298" w:type="dxa"/>
            <w:tcBorders>
              <w:top w:val="nil"/>
              <w:left w:val="nil"/>
              <w:bottom w:val="single" w:color="auto" w:sz="4" w:space="0"/>
              <w:right w:val="single" w:color="auto" w:sz="4" w:space="0"/>
            </w:tcBorders>
            <w:vAlign w:val="center"/>
          </w:tcPr>
          <w:p w14:paraId="6808A4A4">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 每年对机组开机/停机各进行一次全面大检查保养</w:t>
            </w:r>
          </w:p>
          <w:p w14:paraId="4E62367F">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 提供机组故障应急检修服务</w:t>
            </w:r>
          </w:p>
        </w:tc>
      </w:tr>
      <w:tr w14:paraId="605B21FA">
        <w:tblPrEx>
          <w:tblCellMar>
            <w:top w:w="0" w:type="dxa"/>
            <w:left w:w="108" w:type="dxa"/>
            <w:bottom w:w="0" w:type="dxa"/>
            <w:right w:w="108" w:type="dxa"/>
          </w:tblCellMar>
        </w:tblPrEx>
        <w:trPr>
          <w:trHeight w:val="20" w:hRule="atLeast"/>
        </w:trPr>
        <w:tc>
          <w:tcPr>
            <w:tcW w:w="460" w:type="dxa"/>
            <w:vMerge w:val="restart"/>
            <w:tcBorders>
              <w:top w:val="nil"/>
              <w:left w:val="single" w:color="auto" w:sz="4" w:space="0"/>
              <w:bottom w:val="single" w:color="auto" w:sz="4" w:space="0"/>
              <w:right w:val="single" w:color="auto" w:sz="4" w:space="0"/>
            </w:tcBorders>
            <w:noWrap/>
            <w:vAlign w:val="center"/>
          </w:tcPr>
          <w:p w14:paraId="0B2F151E">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890" w:type="dxa"/>
            <w:vMerge w:val="restart"/>
            <w:tcBorders>
              <w:top w:val="nil"/>
              <w:left w:val="single" w:color="auto" w:sz="4" w:space="0"/>
              <w:bottom w:val="single" w:color="auto" w:sz="4" w:space="0"/>
              <w:right w:val="single" w:color="auto" w:sz="4" w:space="0"/>
            </w:tcBorders>
            <w:vAlign w:val="center"/>
          </w:tcPr>
          <w:p w14:paraId="306BE591">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空调主机</w:t>
            </w:r>
          </w:p>
          <w:p w14:paraId="0C7F980A">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设备清洗</w:t>
            </w:r>
          </w:p>
        </w:tc>
        <w:tc>
          <w:tcPr>
            <w:tcW w:w="3655" w:type="dxa"/>
            <w:tcBorders>
              <w:top w:val="nil"/>
              <w:left w:val="nil"/>
              <w:bottom w:val="single" w:color="auto" w:sz="4" w:space="0"/>
              <w:right w:val="single" w:color="auto" w:sz="4" w:space="0"/>
            </w:tcBorders>
            <w:vAlign w:val="center"/>
          </w:tcPr>
          <w:p w14:paraId="4E710274">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YK冷水机组1000RT</w:t>
            </w:r>
          </w:p>
        </w:tc>
        <w:tc>
          <w:tcPr>
            <w:tcW w:w="999" w:type="dxa"/>
            <w:tcBorders>
              <w:top w:val="nil"/>
              <w:left w:val="nil"/>
              <w:bottom w:val="single" w:color="auto" w:sz="4" w:space="0"/>
              <w:right w:val="single" w:color="auto" w:sz="4" w:space="0"/>
            </w:tcBorders>
            <w:vAlign w:val="center"/>
          </w:tcPr>
          <w:p w14:paraId="15F348F5">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c>
          <w:tcPr>
            <w:tcW w:w="3298" w:type="dxa"/>
            <w:vMerge w:val="restart"/>
            <w:tcBorders>
              <w:top w:val="nil"/>
              <w:left w:val="single" w:color="auto" w:sz="4" w:space="0"/>
              <w:bottom w:val="single" w:color="auto" w:sz="4" w:space="0"/>
              <w:right w:val="single" w:color="auto" w:sz="4" w:space="0"/>
            </w:tcBorders>
            <w:vAlign w:val="center"/>
          </w:tcPr>
          <w:p w14:paraId="527B71EA">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每年开机前提供一次机组冷凝器通炮清洗</w:t>
            </w:r>
          </w:p>
        </w:tc>
      </w:tr>
      <w:tr w14:paraId="721AC07F">
        <w:tblPrEx>
          <w:tblCellMar>
            <w:top w:w="0" w:type="dxa"/>
            <w:left w:w="108" w:type="dxa"/>
            <w:bottom w:w="0" w:type="dxa"/>
            <w:right w:w="108" w:type="dxa"/>
          </w:tblCellMar>
        </w:tblPrEx>
        <w:trPr>
          <w:trHeight w:val="20" w:hRule="atLeast"/>
        </w:trPr>
        <w:tc>
          <w:tcPr>
            <w:tcW w:w="460" w:type="dxa"/>
            <w:vMerge w:val="continue"/>
            <w:tcBorders>
              <w:top w:val="nil"/>
              <w:left w:val="single" w:color="auto" w:sz="4" w:space="0"/>
              <w:bottom w:val="single" w:color="auto" w:sz="4" w:space="0"/>
              <w:right w:val="single" w:color="auto" w:sz="4" w:space="0"/>
            </w:tcBorders>
            <w:vAlign w:val="center"/>
          </w:tcPr>
          <w:p w14:paraId="4CC3F187">
            <w:pPr>
              <w:widowControl/>
              <w:jc w:val="left"/>
              <w:rPr>
                <w:rFonts w:cs="宋体" w:asciiTheme="minorEastAsia" w:hAnsiTheme="minorEastAsia" w:eastAsiaTheme="minorEastAsia"/>
                <w:kern w:val="0"/>
                <w:szCs w:val="21"/>
              </w:rPr>
            </w:pPr>
          </w:p>
        </w:tc>
        <w:tc>
          <w:tcPr>
            <w:tcW w:w="890" w:type="dxa"/>
            <w:vMerge w:val="continue"/>
            <w:tcBorders>
              <w:top w:val="nil"/>
              <w:left w:val="single" w:color="auto" w:sz="4" w:space="0"/>
              <w:bottom w:val="single" w:color="auto" w:sz="4" w:space="0"/>
              <w:right w:val="single" w:color="auto" w:sz="4" w:space="0"/>
            </w:tcBorders>
            <w:vAlign w:val="center"/>
          </w:tcPr>
          <w:p w14:paraId="5EBDB1B2">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650D0DF8">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YK冷水机组500RT</w:t>
            </w:r>
          </w:p>
        </w:tc>
        <w:tc>
          <w:tcPr>
            <w:tcW w:w="999" w:type="dxa"/>
            <w:tcBorders>
              <w:top w:val="nil"/>
              <w:left w:val="nil"/>
              <w:bottom w:val="single" w:color="auto" w:sz="4" w:space="0"/>
              <w:right w:val="single" w:color="auto" w:sz="4" w:space="0"/>
            </w:tcBorders>
            <w:vAlign w:val="center"/>
          </w:tcPr>
          <w:p w14:paraId="0F2018AD">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c>
          <w:tcPr>
            <w:tcW w:w="3298" w:type="dxa"/>
            <w:vMerge w:val="continue"/>
            <w:tcBorders>
              <w:top w:val="nil"/>
              <w:left w:val="single" w:color="auto" w:sz="4" w:space="0"/>
              <w:bottom w:val="single" w:color="auto" w:sz="4" w:space="0"/>
              <w:right w:val="single" w:color="auto" w:sz="4" w:space="0"/>
            </w:tcBorders>
            <w:vAlign w:val="center"/>
          </w:tcPr>
          <w:p w14:paraId="7E8F8AC5">
            <w:pPr>
              <w:widowControl/>
              <w:jc w:val="left"/>
              <w:rPr>
                <w:rFonts w:cs="宋体" w:asciiTheme="minorEastAsia" w:hAnsiTheme="minorEastAsia" w:eastAsiaTheme="minorEastAsia"/>
                <w:kern w:val="0"/>
                <w:szCs w:val="21"/>
              </w:rPr>
            </w:pPr>
          </w:p>
        </w:tc>
      </w:tr>
      <w:tr w14:paraId="658FF798">
        <w:tblPrEx>
          <w:tblCellMar>
            <w:top w:w="0" w:type="dxa"/>
            <w:left w:w="108" w:type="dxa"/>
            <w:bottom w:w="0" w:type="dxa"/>
            <w:right w:w="108" w:type="dxa"/>
          </w:tblCellMar>
        </w:tblPrEx>
        <w:trPr>
          <w:trHeight w:val="20" w:hRule="atLeast"/>
        </w:trPr>
        <w:tc>
          <w:tcPr>
            <w:tcW w:w="460" w:type="dxa"/>
            <w:vMerge w:val="continue"/>
            <w:tcBorders>
              <w:top w:val="nil"/>
              <w:left w:val="single" w:color="auto" w:sz="4" w:space="0"/>
              <w:bottom w:val="single" w:color="auto" w:sz="4" w:space="0"/>
              <w:right w:val="single" w:color="auto" w:sz="4" w:space="0"/>
            </w:tcBorders>
            <w:vAlign w:val="center"/>
          </w:tcPr>
          <w:p w14:paraId="5736A5C6">
            <w:pPr>
              <w:widowControl/>
              <w:jc w:val="left"/>
              <w:rPr>
                <w:rFonts w:cs="宋体" w:asciiTheme="minorEastAsia" w:hAnsiTheme="minorEastAsia" w:eastAsiaTheme="minorEastAsia"/>
                <w:kern w:val="0"/>
                <w:szCs w:val="21"/>
              </w:rPr>
            </w:pPr>
          </w:p>
        </w:tc>
        <w:tc>
          <w:tcPr>
            <w:tcW w:w="890" w:type="dxa"/>
            <w:vMerge w:val="continue"/>
            <w:tcBorders>
              <w:top w:val="nil"/>
              <w:left w:val="single" w:color="auto" w:sz="4" w:space="0"/>
              <w:bottom w:val="single" w:color="auto" w:sz="4" w:space="0"/>
              <w:right w:val="single" w:color="auto" w:sz="4" w:space="0"/>
            </w:tcBorders>
            <w:vAlign w:val="center"/>
          </w:tcPr>
          <w:p w14:paraId="59951FC4">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09AD5EB0">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YLAA风冷机组350KW</w:t>
            </w:r>
          </w:p>
        </w:tc>
        <w:tc>
          <w:tcPr>
            <w:tcW w:w="999" w:type="dxa"/>
            <w:tcBorders>
              <w:top w:val="nil"/>
              <w:left w:val="nil"/>
              <w:bottom w:val="single" w:color="auto" w:sz="4" w:space="0"/>
              <w:right w:val="single" w:color="auto" w:sz="4" w:space="0"/>
            </w:tcBorders>
            <w:vAlign w:val="center"/>
          </w:tcPr>
          <w:p w14:paraId="4697E47B">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c>
          <w:tcPr>
            <w:tcW w:w="3298" w:type="dxa"/>
            <w:vMerge w:val="restart"/>
            <w:tcBorders>
              <w:top w:val="nil"/>
              <w:left w:val="single" w:color="auto" w:sz="4" w:space="0"/>
              <w:bottom w:val="single" w:color="auto" w:sz="4" w:space="0"/>
              <w:right w:val="single" w:color="auto" w:sz="4" w:space="0"/>
            </w:tcBorders>
            <w:vAlign w:val="center"/>
          </w:tcPr>
          <w:p w14:paraId="71404393">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每年开机前提供一次机组冷凝翅片清洗</w:t>
            </w:r>
          </w:p>
        </w:tc>
      </w:tr>
      <w:tr w14:paraId="4123411A">
        <w:tblPrEx>
          <w:tblCellMar>
            <w:top w:w="0" w:type="dxa"/>
            <w:left w:w="108" w:type="dxa"/>
            <w:bottom w:w="0" w:type="dxa"/>
            <w:right w:w="108" w:type="dxa"/>
          </w:tblCellMar>
        </w:tblPrEx>
        <w:trPr>
          <w:trHeight w:val="20" w:hRule="atLeast"/>
        </w:trPr>
        <w:tc>
          <w:tcPr>
            <w:tcW w:w="460" w:type="dxa"/>
            <w:vMerge w:val="continue"/>
            <w:tcBorders>
              <w:top w:val="nil"/>
              <w:left w:val="single" w:color="auto" w:sz="4" w:space="0"/>
              <w:bottom w:val="single" w:color="auto" w:sz="4" w:space="0"/>
              <w:right w:val="single" w:color="auto" w:sz="4" w:space="0"/>
            </w:tcBorders>
            <w:vAlign w:val="center"/>
          </w:tcPr>
          <w:p w14:paraId="0658BD9A">
            <w:pPr>
              <w:widowControl/>
              <w:jc w:val="left"/>
              <w:rPr>
                <w:rFonts w:cs="宋体" w:asciiTheme="minorEastAsia" w:hAnsiTheme="minorEastAsia" w:eastAsiaTheme="minorEastAsia"/>
                <w:kern w:val="0"/>
                <w:szCs w:val="21"/>
              </w:rPr>
            </w:pPr>
          </w:p>
        </w:tc>
        <w:tc>
          <w:tcPr>
            <w:tcW w:w="890" w:type="dxa"/>
            <w:vMerge w:val="continue"/>
            <w:tcBorders>
              <w:top w:val="nil"/>
              <w:left w:val="single" w:color="auto" w:sz="4" w:space="0"/>
              <w:bottom w:val="single" w:color="auto" w:sz="4" w:space="0"/>
              <w:right w:val="single" w:color="auto" w:sz="4" w:space="0"/>
            </w:tcBorders>
            <w:vAlign w:val="center"/>
          </w:tcPr>
          <w:p w14:paraId="101E5B47">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651EB74B">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YLPA风冷机组365KW</w:t>
            </w:r>
          </w:p>
        </w:tc>
        <w:tc>
          <w:tcPr>
            <w:tcW w:w="999" w:type="dxa"/>
            <w:tcBorders>
              <w:top w:val="nil"/>
              <w:left w:val="nil"/>
              <w:bottom w:val="single" w:color="auto" w:sz="4" w:space="0"/>
              <w:right w:val="single" w:color="auto" w:sz="4" w:space="0"/>
            </w:tcBorders>
            <w:vAlign w:val="center"/>
          </w:tcPr>
          <w:p w14:paraId="6BE5E8B8">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c>
          <w:tcPr>
            <w:tcW w:w="3298" w:type="dxa"/>
            <w:vMerge w:val="continue"/>
            <w:tcBorders>
              <w:top w:val="nil"/>
              <w:left w:val="single" w:color="auto" w:sz="4" w:space="0"/>
              <w:bottom w:val="single" w:color="auto" w:sz="4" w:space="0"/>
              <w:right w:val="single" w:color="auto" w:sz="4" w:space="0"/>
            </w:tcBorders>
            <w:vAlign w:val="center"/>
          </w:tcPr>
          <w:p w14:paraId="747802F0">
            <w:pPr>
              <w:widowControl/>
              <w:jc w:val="left"/>
              <w:rPr>
                <w:rFonts w:cs="宋体" w:asciiTheme="minorEastAsia" w:hAnsiTheme="minorEastAsia" w:eastAsiaTheme="minorEastAsia"/>
                <w:kern w:val="0"/>
                <w:szCs w:val="21"/>
              </w:rPr>
            </w:pPr>
          </w:p>
        </w:tc>
      </w:tr>
      <w:tr w14:paraId="0D371E9A">
        <w:tblPrEx>
          <w:tblCellMar>
            <w:top w:w="0" w:type="dxa"/>
            <w:left w:w="108" w:type="dxa"/>
            <w:bottom w:w="0" w:type="dxa"/>
            <w:right w:w="108" w:type="dxa"/>
          </w:tblCellMar>
        </w:tblPrEx>
        <w:trPr>
          <w:trHeight w:val="20" w:hRule="atLeast"/>
        </w:trPr>
        <w:tc>
          <w:tcPr>
            <w:tcW w:w="460" w:type="dxa"/>
            <w:vMerge w:val="continue"/>
            <w:tcBorders>
              <w:top w:val="nil"/>
              <w:left w:val="single" w:color="auto" w:sz="4" w:space="0"/>
              <w:bottom w:val="single" w:color="auto" w:sz="4" w:space="0"/>
              <w:right w:val="single" w:color="auto" w:sz="4" w:space="0"/>
            </w:tcBorders>
            <w:vAlign w:val="center"/>
          </w:tcPr>
          <w:p w14:paraId="55CE7A65">
            <w:pPr>
              <w:widowControl/>
              <w:jc w:val="left"/>
              <w:rPr>
                <w:rFonts w:cs="宋体" w:asciiTheme="minorEastAsia" w:hAnsiTheme="minorEastAsia" w:eastAsiaTheme="minorEastAsia"/>
                <w:kern w:val="0"/>
                <w:szCs w:val="21"/>
              </w:rPr>
            </w:pPr>
          </w:p>
        </w:tc>
        <w:tc>
          <w:tcPr>
            <w:tcW w:w="890" w:type="dxa"/>
            <w:vMerge w:val="continue"/>
            <w:tcBorders>
              <w:top w:val="nil"/>
              <w:left w:val="single" w:color="auto" w:sz="4" w:space="0"/>
              <w:bottom w:val="single" w:color="auto" w:sz="4" w:space="0"/>
              <w:right w:val="single" w:color="auto" w:sz="4" w:space="0"/>
            </w:tcBorders>
            <w:vAlign w:val="center"/>
          </w:tcPr>
          <w:p w14:paraId="41C58529">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357BFF43">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检验科天加TCA主机（66KW）</w:t>
            </w:r>
          </w:p>
        </w:tc>
        <w:tc>
          <w:tcPr>
            <w:tcW w:w="999" w:type="dxa"/>
            <w:tcBorders>
              <w:top w:val="nil"/>
              <w:left w:val="nil"/>
              <w:bottom w:val="single" w:color="auto" w:sz="4" w:space="0"/>
              <w:right w:val="single" w:color="auto" w:sz="4" w:space="0"/>
            </w:tcBorders>
            <w:vAlign w:val="center"/>
          </w:tcPr>
          <w:p w14:paraId="5DD5258C">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3台</w:t>
            </w:r>
          </w:p>
        </w:tc>
        <w:tc>
          <w:tcPr>
            <w:tcW w:w="3298" w:type="dxa"/>
            <w:vMerge w:val="continue"/>
            <w:tcBorders>
              <w:top w:val="nil"/>
              <w:left w:val="single" w:color="auto" w:sz="4" w:space="0"/>
              <w:bottom w:val="single" w:color="auto" w:sz="4" w:space="0"/>
              <w:right w:val="single" w:color="auto" w:sz="4" w:space="0"/>
            </w:tcBorders>
            <w:vAlign w:val="center"/>
          </w:tcPr>
          <w:p w14:paraId="4924643C">
            <w:pPr>
              <w:widowControl/>
              <w:jc w:val="left"/>
              <w:rPr>
                <w:rFonts w:cs="宋体" w:asciiTheme="minorEastAsia" w:hAnsiTheme="minorEastAsia" w:eastAsiaTheme="minorEastAsia"/>
                <w:kern w:val="0"/>
                <w:szCs w:val="21"/>
              </w:rPr>
            </w:pPr>
          </w:p>
        </w:tc>
      </w:tr>
      <w:tr w14:paraId="62C670AE">
        <w:tblPrEx>
          <w:tblCellMar>
            <w:top w:w="0" w:type="dxa"/>
            <w:left w:w="108" w:type="dxa"/>
            <w:bottom w:w="0" w:type="dxa"/>
            <w:right w:w="108" w:type="dxa"/>
          </w:tblCellMar>
        </w:tblPrEx>
        <w:trPr>
          <w:trHeight w:val="20" w:hRule="atLeast"/>
        </w:trPr>
        <w:tc>
          <w:tcPr>
            <w:tcW w:w="460" w:type="dxa"/>
            <w:vMerge w:val="continue"/>
            <w:tcBorders>
              <w:top w:val="nil"/>
              <w:left w:val="single" w:color="auto" w:sz="4" w:space="0"/>
              <w:bottom w:val="single" w:color="auto" w:sz="4" w:space="0"/>
              <w:right w:val="single" w:color="auto" w:sz="4" w:space="0"/>
            </w:tcBorders>
            <w:vAlign w:val="center"/>
          </w:tcPr>
          <w:p w14:paraId="1CE87477">
            <w:pPr>
              <w:widowControl/>
              <w:jc w:val="left"/>
              <w:rPr>
                <w:rFonts w:cs="宋体" w:asciiTheme="minorEastAsia" w:hAnsiTheme="minorEastAsia" w:eastAsiaTheme="minorEastAsia"/>
                <w:kern w:val="0"/>
                <w:szCs w:val="21"/>
              </w:rPr>
            </w:pPr>
          </w:p>
        </w:tc>
        <w:tc>
          <w:tcPr>
            <w:tcW w:w="890" w:type="dxa"/>
            <w:vMerge w:val="continue"/>
            <w:tcBorders>
              <w:top w:val="nil"/>
              <w:left w:val="single" w:color="auto" w:sz="4" w:space="0"/>
              <w:bottom w:val="single" w:color="auto" w:sz="4" w:space="0"/>
              <w:right w:val="single" w:color="auto" w:sz="4" w:space="0"/>
            </w:tcBorders>
            <w:vAlign w:val="center"/>
          </w:tcPr>
          <w:p w14:paraId="06DAF71F">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6BC4871B">
            <w:pPr>
              <w:widowControl/>
              <w:jc w:val="center"/>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u w:val="single"/>
              </w:rPr>
              <w:t>天加TCA主机（核酸中心）</w:t>
            </w:r>
          </w:p>
        </w:tc>
        <w:tc>
          <w:tcPr>
            <w:tcW w:w="999" w:type="dxa"/>
            <w:tcBorders>
              <w:top w:val="nil"/>
              <w:left w:val="nil"/>
              <w:bottom w:val="single" w:color="auto" w:sz="4" w:space="0"/>
              <w:right w:val="single" w:color="auto" w:sz="4" w:space="0"/>
            </w:tcBorders>
            <w:vAlign w:val="center"/>
          </w:tcPr>
          <w:p w14:paraId="563C74F0">
            <w:pPr>
              <w:widowControl/>
              <w:jc w:val="center"/>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u w:val="single"/>
              </w:rPr>
              <w:t>7台</w:t>
            </w:r>
          </w:p>
        </w:tc>
        <w:tc>
          <w:tcPr>
            <w:tcW w:w="3298" w:type="dxa"/>
            <w:vMerge w:val="continue"/>
            <w:tcBorders>
              <w:top w:val="nil"/>
              <w:left w:val="single" w:color="auto" w:sz="4" w:space="0"/>
              <w:bottom w:val="single" w:color="auto" w:sz="4" w:space="0"/>
              <w:right w:val="single" w:color="auto" w:sz="4" w:space="0"/>
            </w:tcBorders>
            <w:vAlign w:val="center"/>
          </w:tcPr>
          <w:p w14:paraId="037F27CE">
            <w:pPr>
              <w:widowControl/>
              <w:jc w:val="left"/>
              <w:rPr>
                <w:rFonts w:cs="宋体" w:asciiTheme="minorEastAsia" w:hAnsiTheme="minorEastAsia" w:eastAsiaTheme="minorEastAsia"/>
                <w:kern w:val="0"/>
                <w:szCs w:val="21"/>
              </w:rPr>
            </w:pPr>
          </w:p>
        </w:tc>
      </w:tr>
      <w:tr w14:paraId="49F4F6DD">
        <w:tblPrEx>
          <w:tblCellMar>
            <w:top w:w="0" w:type="dxa"/>
            <w:left w:w="108" w:type="dxa"/>
            <w:bottom w:w="0" w:type="dxa"/>
            <w:right w:w="108" w:type="dxa"/>
          </w:tblCellMar>
        </w:tblPrEx>
        <w:trPr>
          <w:trHeight w:val="20" w:hRule="atLeast"/>
        </w:trPr>
        <w:tc>
          <w:tcPr>
            <w:tcW w:w="460" w:type="dxa"/>
            <w:vMerge w:val="continue"/>
            <w:tcBorders>
              <w:top w:val="nil"/>
              <w:left w:val="single" w:color="auto" w:sz="4" w:space="0"/>
              <w:bottom w:val="single" w:color="auto" w:sz="4" w:space="0"/>
              <w:right w:val="single" w:color="auto" w:sz="4" w:space="0"/>
            </w:tcBorders>
            <w:vAlign w:val="center"/>
          </w:tcPr>
          <w:p w14:paraId="0561D5CC">
            <w:pPr>
              <w:widowControl/>
              <w:jc w:val="left"/>
              <w:rPr>
                <w:rFonts w:cs="宋体" w:asciiTheme="minorEastAsia" w:hAnsiTheme="minorEastAsia" w:eastAsiaTheme="minorEastAsia"/>
                <w:kern w:val="0"/>
                <w:szCs w:val="21"/>
              </w:rPr>
            </w:pPr>
          </w:p>
        </w:tc>
        <w:tc>
          <w:tcPr>
            <w:tcW w:w="890" w:type="dxa"/>
            <w:vMerge w:val="continue"/>
            <w:tcBorders>
              <w:top w:val="nil"/>
              <w:left w:val="single" w:color="auto" w:sz="4" w:space="0"/>
              <w:bottom w:val="single" w:color="auto" w:sz="4" w:space="0"/>
              <w:right w:val="single" w:color="auto" w:sz="4" w:space="0"/>
            </w:tcBorders>
            <w:vAlign w:val="center"/>
          </w:tcPr>
          <w:p w14:paraId="65039B0C">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5CA38608">
            <w:pPr>
              <w:widowControl/>
              <w:jc w:val="center"/>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u w:val="single"/>
              </w:rPr>
              <w:t>约克YCAE风冷机组（门诊屋面6台）</w:t>
            </w:r>
          </w:p>
          <w:p w14:paraId="7CC38BA2">
            <w:pPr>
              <w:widowControl/>
              <w:jc w:val="center"/>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u w:val="single"/>
              </w:rPr>
              <w:t>康复科、针炙科</w:t>
            </w:r>
          </w:p>
        </w:tc>
        <w:tc>
          <w:tcPr>
            <w:tcW w:w="999" w:type="dxa"/>
            <w:tcBorders>
              <w:top w:val="nil"/>
              <w:left w:val="nil"/>
              <w:bottom w:val="single" w:color="auto" w:sz="4" w:space="0"/>
              <w:right w:val="single" w:color="auto" w:sz="4" w:space="0"/>
            </w:tcBorders>
            <w:vAlign w:val="center"/>
          </w:tcPr>
          <w:p w14:paraId="3075F37B">
            <w:pPr>
              <w:widowControl/>
              <w:jc w:val="center"/>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u w:val="single"/>
              </w:rPr>
              <w:t>3组</w:t>
            </w:r>
          </w:p>
        </w:tc>
        <w:tc>
          <w:tcPr>
            <w:tcW w:w="3298" w:type="dxa"/>
            <w:vMerge w:val="continue"/>
            <w:tcBorders>
              <w:top w:val="nil"/>
              <w:left w:val="single" w:color="auto" w:sz="4" w:space="0"/>
              <w:bottom w:val="single" w:color="auto" w:sz="4" w:space="0"/>
              <w:right w:val="single" w:color="auto" w:sz="4" w:space="0"/>
            </w:tcBorders>
            <w:vAlign w:val="center"/>
          </w:tcPr>
          <w:p w14:paraId="7D59A1F3">
            <w:pPr>
              <w:widowControl/>
              <w:jc w:val="left"/>
              <w:rPr>
                <w:rFonts w:cs="宋体" w:asciiTheme="minorEastAsia" w:hAnsiTheme="minorEastAsia" w:eastAsiaTheme="minorEastAsia"/>
                <w:kern w:val="0"/>
                <w:szCs w:val="21"/>
              </w:rPr>
            </w:pPr>
          </w:p>
        </w:tc>
      </w:tr>
      <w:tr w14:paraId="45747D8D">
        <w:tblPrEx>
          <w:tblCellMar>
            <w:top w:w="0" w:type="dxa"/>
            <w:left w:w="108" w:type="dxa"/>
            <w:bottom w:w="0" w:type="dxa"/>
            <w:right w:w="108" w:type="dxa"/>
          </w:tblCellMar>
        </w:tblPrEx>
        <w:trPr>
          <w:trHeight w:val="20" w:hRule="atLeast"/>
        </w:trPr>
        <w:tc>
          <w:tcPr>
            <w:tcW w:w="460" w:type="dxa"/>
            <w:vMerge w:val="continue"/>
            <w:tcBorders>
              <w:top w:val="nil"/>
              <w:left w:val="single" w:color="auto" w:sz="4" w:space="0"/>
              <w:bottom w:val="single" w:color="auto" w:sz="4" w:space="0"/>
              <w:right w:val="single" w:color="auto" w:sz="4" w:space="0"/>
            </w:tcBorders>
            <w:vAlign w:val="center"/>
          </w:tcPr>
          <w:p w14:paraId="7B16C6E4">
            <w:pPr>
              <w:widowControl/>
              <w:jc w:val="left"/>
              <w:rPr>
                <w:rFonts w:cs="宋体" w:asciiTheme="minorEastAsia" w:hAnsiTheme="minorEastAsia" w:eastAsiaTheme="minorEastAsia"/>
                <w:kern w:val="0"/>
                <w:szCs w:val="21"/>
              </w:rPr>
            </w:pPr>
          </w:p>
        </w:tc>
        <w:tc>
          <w:tcPr>
            <w:tcW w:w="890" w:type="dxa"/>
            <w:vMerge w:val="continue"/>
            <w:tcBorders>
              <w:top w:val="nil"/>
              <w:left w:val="single" w:color="auto" w:sz="4" w:space="0"/>
              <w:bottom w:val="single" w:color="auto" w:sz="4" w:space="0"/>
              <w:right w:val="single" w:color="auto" w:sz="4" w:space="0"/>
            </w:tcBorders>
            <w:vAlign w:val="center"/>
          </w:tcPr>
          <w:p w14:paraId="0D8C82CB">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4A055751">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放射科三菱多联机</w:t>
            </w:r>
          </w:p>
        </w:tc>
        <w:tc>
          <w:tcPr>
            <w:tcW w:w="999" w:type="dxa"/>
            <w:tcBorders>
              <w:top w:val="nil"/>
              <w:left w:val="nil"/>
              <w:bottom w:val="single" w:color="auto" w:sz="4" w:space="0"/>
              <w:right w:val="single" w:color="auto" w:sz="4" w:space="0"/>
            </w:tcBorders>
            <w:vAlign w:val="center"/>
          </w:tcPr>
          <w:p w14:paraId="6FDFD542">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c>
          <w:tcPr>
            <w:tcW w:w="3298" w:type="dxa"/>
            <w:vMerge w:val="continue"/>
            <w:tcBorders>
              <w:top w:val="nil"/>
              <w:left w:val="single" w:color="auto" w:sz="4" w:space="0"/>
              <w:bottom w:val="single" w:color="auto" w:sz="4" w:space="0"/>
              <w:right w:val="single" w:color="auto" w:sz="4" w:space="0"/>
            </w:tcBorders>
            <w:vAlign w:val="center"/>
          </w:tcPr>
          <w:p w14:paraId="29C3B868">
            <w:pPr>
              <w:widowControl/>
              <w:jc w:val="left"/>
              <w:rPr>
                <w:rFonts w:cs="宋体" w:asciiTheme="minorEastAsia" w:hAnsiTheme="minorEastAsia" w:eastAsiaTheme="minorEastAsia"/>
                <w:kern w:val="0"/>
                <w:szCs w:val="21"/>
              </w:rPr>
            </w:pPr>
          </w:p>
        </w:tc>
      </w:tr>
      <w:tr w14:paraId="51349116">
        <w:tblPrEx>
          <w:tblCellMar>
            <w:top w:w="0" w:type="dxa"/>
            <w:left w:w="108" w:type="dxa"/>
            <w:bottom w:w="0" w:type="dxa"/>
            <w:right w:w="108" w:type="dxa"/>
          </w:tblCellMar>
        </w:tblPrEx>
        <w:trPr>
          <w:trHeight w:val="404" w:hRule="atLeast"/>
        </w:trPr>
        <w:tc>
          <w:tcPr>
            <w:tcW w:w="460" w:type="dxa"/>
            <w:vMerge w:val="restart"/>
            <w:tcBorders>
              <w:top w:val="nil"/>
              <w:left w:val="single" w:color="auto" w:sz="4" w:space="0"/>
              <w:right w:val="single" w:color="auto" w:sz="4" w:space="0"/>
            </w:tcBorders>
            <w:noWrap/>
            <w:vAlign w:val="center"/>
          </w:tcPr>
          <w:p w14:paraId="13CD8E75">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890" w:type="dxa"/>
            <w:vMerge w:val="restart"/>
            <w:tcBorders>
              <w:top w:val="nil"/>
              <w:left w:val="single" w:color="auto" w:sz="4" w:space="0"/>
              <w:right w:val="single" w:color="auto" w:sz="4" w:space="0"/>
            </w:tcBorders>
            <w:vAlign w:val="center"/>
          </w:tcPr>
          <w:p w14:paraId="2FB9A700">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冷冻、冷却水泵及冷却塔设备</w:t>
            </w:r>
          </w:p>
        </w:tc>
        <w:tc>
          <w:tcPr>
            <w:tcW w:w="3655" w:type="dxa"/>
            <w:tcBorders>
              <w:top w:val="nil"/>
              <w:left w:val="nil"/>
              <w:bottom w:val="single" w:color="auto" w:sz="4" w:space="0"/>
              <w:right w:val="single" w:color="auto" w:sz="4" w:space="0"/>
            </w:tcBorders>
            <w:vAlign w:val="center"/>
          </w:tcPr>
          <w:p w14:paraId="7BA7A2AC">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冷冻水泵(75KW)</w:t>
            </w:r>
          </w:p>
        </w:tc>
        <w:tc>
          <w:tcPr>
            <w:tcW w:w="999" w:type="dxa"/>
            <w:tcBorders>
              <w:top w:val="nil"/>
              <w:left w:val="nil"/>
              <w:bottom w:val="single" w:color="auto" w:sz="4" w:space="0"/>
              <w:right w:val="single" w:color="auto" w:sz="4" w:space="0"/>
            </w:tcBorders>
            <w:vAlign w:val="center"/>
          </w:tcPr>
          <w:p w14:paraId="4483E33D">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3台</w:t>
            </w:r>
          </w:p>
        </w:tc>
        <w:tc>
          <w:tcPr>
            <w:tcW w:w="3298" w:type="dxa"/>
            <w:tcBorders>
              <w:top w:val="nil"/>
              <w:left w:val="nil"/>
              <w:bottom w:val="single" w:color="auto" w:sz="4" w:space="0"/>
              <w:right w:val="single" w:color="auto" w:sz="4" w:space="0"/>
            </w:tcBorders>
            <w:vAlign w:val="center"/>
          </w:tcPr>
          <w:p w14:paraId="2E23434D">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每月检查1次及日常检查维护</w:t>
            </w:r>
          </w:p>
        </w:tc>
      </w:tr>
      <w:tr w14:paraId="3C62E9ED">
        <w:tblPrEx>
          <w:tblCellMar>
            <w:top w:w="0" w:type="dxa"/>
            <w:left w:w="108" w:type="dxa"/>
            <w:bottom w:w="0" w:type="dxa"/>
            <w:right w:w="108" w:type="dxa"/>
          </w:tblCellMar>
        </w:tblPrEx>
        <w:trPr>
          <w:trHeight w:val="404" w:hRule="atLeast"/>
        </w:trPr>
        <w:tc>
          <w:tcPr>
            <w:tcW w:w="460" w:type="dxa"/>
            <w:vMerge w:val="continue"/>
            <w:tcBorders>
              <w:left w:val="single" w:color="auto" w:sz="4" w:space="0"/>
              <w:right w:val="single" w:color="auto" w:sz="4" w:space="0"/>
            </w:tcBorders>
            <w:vAlign w:val="center"/>
          </w:tcPr>
          <w:p w14:paraId="4A5F52A3">
            <w:pPr>
              <w:widowControl/>
              <w:jc w:val="left"/>
              <w:rPr>
                <w:rFonts w:cs="宋体" w:asciiTheme="minorEastAsia" w:hAnsiTheme="minorEastAsia" w:eastAsiaTheme="minorEastAsia"/>
                <w:kern w:val="0"/>
                <w:szCs w:val="21"/>
              </w:rPr>
            </w:pPr>
          </w:p>
        </w:tc>
        <w:tc>
          <w:tcPr>
            <w:tcW w:w="890" w:type="dxa"/>
            <w:vMerge w:val="continue"/>
            <w:tcBorders>
              <w:left w:val="single" w:color="auto" w:sz="4" w:space="0"/>
              <w:right w:val="single" w:color="auto" w:sz="4" w:space="0"/>
            </w:tcBorders>
            <w:vAlign w:val="center"/>
          </w:tcPr>
          <w:p w14:paraId="4398C0D9">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72C79FA8">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冷冻水泵(45KW)</w:t>
            </w:r>
          </w:p>
        </w:tc>
        <w:tc>
          <w:tcPr>
            <w:tcW w:w="999" w:type="dxa"/>
            <w:tcBorders>
              <w:top w:val="nil"/>
              <w:left w:val="nil"/>
              <w:bottom w:val="single" w:color="auto" w:sz="4" w:space="0"/>
              <w:right w:val="single" w:color="auto" w:sz="4" w:space="0"/>
            </w:tcBorders>
            <w:vAlign w:val="center"/>
          </w:tcPr>
          <w:p w14:paraId="7161A299">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3台</w:t>
            </w:r>
          </w:p>
        </w:tc>
        <w:tc>
          <w:tcPr>
            <w:tcW w:w="3298" w:type="dxa"/>
            <w:tcBorders>
              <w:top w:val="nil"/>
              <w:left w:val="nil"/>
              <w:bottom w:val="single" w:color="auto" w:sz="4" w:space="0"/>
              <w:right w:val="single" w:color="auto" w:sz="4" w:space="0"/>
            </w:tcBorders>
            <w:vAlign w:val="center"/>
          </w:tcPr>
          <w:p w14:paraId="3D73CFEF">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每月检查1次及日常检查维护</w:t>
            </w:r>
          </w:p>
        </w:tc>
      </w:tr>
      <w:tr w14:paraId="1E87F3E6">
        <w:tblPrEx>
          <w:tblCellMar>
            <w:top w:w="0" w:type="dxa"/>
            <w:left w:w="108" w:type="dxa"/>
            <w:bottom w:w="0" w:type="dxa"/>
            <w:right w:w="108" w:type="dxa"/>
          </w:tblCellMar>
        </w:tblPrEx>
        <w:trPr>
          <w:trHeight w:val="404" w:hRule="atLeast"/>
        </w:trPr>
        <w:tc>
          <w:tcPr>
            <w:tcW w:w="460" w:type="dxa"/>
            <w:vMerge w:val="continue"/>
            <w:tcBorders>
              <w:left w:val="single" w:color="auto" w:sz="4" w:space="0"/>
              <w:right w:val="single" w:color="auto" w:sz="4" w:space="0"/>
            </w:tcBorders>
            <w:vAlign w:val="center"/>
          </w:tcPr>
          <w:p w14:paraId="17FD2D82">
            <w:pPr>
              <w:widowControl/>
              <w:jc w:val="left"/>
              <w:rPr>
                <w:rFonts w:cs="宋体" w:asciiTheme="minorEastAsia" w:hAnsiTheme="minorEastAsia" w:eastAsiaTheme="minorEastAsia"/>
                <w:kern w:val="0"/>
                <w:szCs w:val="21"/>
              </w:rPr>
            </w:pPr>
          </w:p>
        </w:tc>
        <w:tc>
          <w:tcPr>
            <w:tcW w:w="890" w:type="dxa"/>
            <w:vMerge w:val="continue"/>
            <w:tcBorders>
              <w:left w:val="single" w:color="auto" w:sz="4" w:space="0"/>
              <w:right w:val="single" w:color="auto" w:sz="4" w:space="0"/>
            </w:tcBorders>
            <w:vAlign w:val="center"/>
          </w:tcPr>
          <w:p w14:paraId="476787C8">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2AE51D51">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冷却水泵(90KW)</w:t>
            </w:r>
          </w:p>
        </w:tc>
        <w:tc>
          <w:tcPr>
            <w:tcW w:w="999" w:type="dxa"/>
            <w:tcBorders>
              <w:top w:val="nil"/>
              <w:left w:val="nil"/>
              <w:bottom w:val="single" w:color="auto" w:sz="4" w:space="0"/>
              <w:right w:val="single" w:color="auto" w:sz="4" w:space="0"/>
            </w:tcBorders>
            <w:vAlign w:val="center"/>
          </w:tcPr>
          <w:p w14:paraId="7176B48A">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3台</w:t>
            </w:r>
          </w:p>
        </w:tc>
        <w:tc>
          <w:tcPr>
            <w:tcW w:w="3298" w:type="dxa"/>
            <w:tcBorders>
              <w:top w:val="nil"/>
              <w:left w:val="nil"/>
              <w:bottom w:val="single" w:color="auto" w:sz="4" w:space="0"/>
              <w:right w:val="single" w:color="auto" w:sz="4" w:space="0"/>
            </w:tcBorders>
            <w:vAlign w:val="center"/>
          </w:tcPr>
          <w:p w14:paraId="161BCE7D">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每月检查1次及日常检查维护</w:t>
            </w:r>
          </w:p>
        </w:tc>
      </w:tr>
      <w:tr w14:paraId="73F60817">
        <w:tblPrEx>
          <w:tblCellMar>
            <w:top w:w="0" w:type="dxa"/>
            <w:left w:w="108" w:type="dxa"/>
            <w:bottom w:w="0" w:type="dxa"/>
            <w:right w:w="108" w:type="dxa"/>
          </w:tblCellMar>
        </w:tblPrEx>
        <w:trPr>
          <w:trHeight w:val="887" w:hRule="atLeast"/>
        </w:trPr>
        <w:tc>
          <w:tcPr>
            <w:tcW w:w="460" w:type="dxa"/>
            <w:vMerge w:val="continue"/>
            <w:tcBorders>
              <w:left w:val="single" w:color="auto" w:sz="4" w:space="0"/>
              <w:right w:val="single" w:color="auto" w:sz="4" w:space="0"/>
            </w:tcBorders>
            <w:vAlign w:val="center"/>
          </w:tcPr>
          <w:p w14:paraId="16ED98A7">
            <w:pPr>
              <w:widowControl/>
              <w:jc w:val="left"/>
              <w:rPr>
                <w:rFonts w:cs="宋体" w:asciiTheme="minorEastAsia" w:hAnsiTheme="minorEastAsia" w:eastAsiaTheme="minorEastAsia"/>
                <w:kern w:val="0"/>
                <w:szCs w:val="21"/>
              </w:rPr>
            </w:pPr>
          </w:p>
        </w:tc>
        <w:tc>
          <w:tcPr>
            <w:tcW w:w="890" w:type="dxa"/>
            <w:vMerge w:val="continue"/>
            <w:tcBorders>
              <w:left w:val="single" w:color="auto" w:sz="4" w:space="0"/>
              <w:right w:val="single" w:color="auto" w:sz="4" w:space="0"/>
            </w:tcBorders>
            <w:vAlign w:val="center"/>
          </w:tcPr>
          <w:p w14:paraId="256DB5CE">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7C868959">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冷却水泵(55KW)</w:t>
            </w:r>
          </w:p>
        </w:tc>
        <w:tc>
          <w:tcPr>
            <w:tcW w:w="999" w:type="dxa"/>
            <w:tcBorders>
              <w:top w:val="nil"/>
              <w:left w:val="nil"/>
              <w:bottom w:val="single" w:color="auto" w:sz="4" w:space="0"/>
              <w:right w:val="single" w:color="auto" w:sz="4" w:space="0"/>
            </w:tcBorders>
            <w:vAlign w:val="center"/>
          </w:tcPr>
          <w:p w14:paraId="2E02923B">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3台</w:t>
            </w:r>
          </w:p>
        </w:tc>
        <w:tc>
          <w:tcPr>
            <w:tcW w:w="3298" w:type="dxa"/>
            <w:tcBorders>
              <w:top w:val="nil"/>
              <w:left w:val="nil"/>
              <w:bottom w:val="single" w:color="auto" w:sz="4" w:space="0"/>
              <w:right w:val="single" w:color="auto" w:sz="4" w:space="0"/>
            </w:tcBorders>
            <w:vAlign w:val="center"/>
          </w:tcPr>
          <w:p w14:paraId="29AED099">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每月检查1次及日常检查维护</w:t>
            </w:r>
          </w:p>
        </w:tc>
      </w:tr>
      <w:tr w14:paraId="6FB02E2B">
        <w:tblPrEx>
          <w:tblCellMar>
            <w:top w:w="0" w:type="dxa"/>
            <w:left w:w="108" w:type="dxa"/>
            <w:bottom w:w="0" w:type="dxa"/>
            <w:right w:w="108" w:type="dxa"/>
          </w:tblCellMar>
        </w:tblPrEx>
        <w:trPr>
          <w:trHeight w:val="404" w:hRule="atLeast"/>
        </w:trPr>
        <w:tc>
          <w:tcPr>
            <w:tcW w:w="460" w:type="dxa"/>
            <w:vMerge w:val="continue"/>
            <w:tcBorders>
              <w:left w:val="single" w:color="auto" w:sz="4" w:space="0"/>
              <w:right w:val="single" w:color="auto" w:sz="4" w:space="0"/>
            </w:tcBorders>
            <w:vAlign w:val="center"/>
          </w:tcPr>
          <w:p w14:paraId="7581C19C">
            <w:pPr>
              <w:widowControl/>
              <w:jc w:val="left"/>
              <w:rPr>
                <w:rFonts w:cs="宋体" w:asciiTheme="minorEastAsia" w:hAnsiTheme="minorEastAsia" w:eastAsiaTheme="minorEastAsia"/>
                <w:kern w:val="0"/>
                <w:szCs w:val="21"/>
              </w:rPr>
            </w:pPr>
          </w:p>
        </w:tc>
        <w:tc>
          <w:tcPr>
            <w:tcW w:w="890" w:type="dxa"/>
            <w:vMerge w:val="continue"/>
            <w:tcBorders>
              <w:left w:val="single" w:color="auto" w:sz="4" w:space="0"/>
              <w:right w:val="single" w:color="auto" w:sz="4" w:space="0"/>
            </w:tcBorders>
            <w:vAlign w:val="center"/>
          </w:tcPr>
          <w:p w14:paraId="527D8EE6">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517DDBBB">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二次冷冻水泵(75KW)</w:t>
            </w:r>
          </w:p>
        </w:tc>
        <w:tc>
          <w:tcPr>
            <w:tcW w:w="999" w:type="dxa"/>
            <w:tcBorders>
              <w:top w:val="nil"/>
              <w:left w:val="nil"/>
              <w:bottom w:val="single" w:color="auto" w:sz="4" w:space="0"/>
              <w:right w:val="single" w:color="auto" w:sz="4" w:space="0"/>
            </w:tcBorders>
            <w:vAlign w:val="center"/>
          </w:tcPr>
          <w:p w14:paraId="24D5C7B0">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5台</w:t>
            </w:r>
          </w:p>
        </w:tc>
        <w:tc>
          <w:tcPr>
            <w:tcW w:w="3298" w:type="dxa"/>
            <w:tcBorders>
              <w:top w:val="nil"/>
              <w:left w:val="nil"/>
              <w:bottom w:val="single" w:color="auto" w:sz="4" w:space="0"/>
              <w:right w:val="single" w:color="auto" w:sz="4" w:space="0"/>
            </w:tcBorders>
            <w:vAlign w:val="center"/>
          </w:tcPr>
          <w:p w14:paraId="5EE51FBD">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每月检查1次及日常检查维护</w:t>
            </w:r>
          </w:p>
        </w:tc>
      </w:tr>
      <w:tr w14:paraId="62BE2ECE">
        <w:tblPrEx>
          <w:tblCellMar>
            <w:top w:w="0" w:type="dxa"/>
            <w:left w:w="108" w:type="dxa"/>
            <w:bottom w:w="0" w:type="dxa"/>
            <w:right w:w="108" w:type="dxa"/>
          </w:tblCellMar>
        </w:tblPrEx>
        <w:trPr>
          <w:trHeight w:val="404" w:hRule="atLeast"/>
        </w:trPr>
        <w:tc>
          <w:tcPr>
            <w:tcW w:w="460" w:type="dxa"/>
            <w:vMerge w:val="continue"/>
            <w:tcBorders>
              <w:left w:val="single" w:color="auto" w:sz="4" w:space="0"/>
              <w:right w:val="single" w:color="auto" w:sz="4" w:space="0"/>
            </w:tcBorders>
            <w:vAlign w:val="center"/>
          </w:tcPr>
          <w:p w14:paraId="5E95BE15">
            <w:pPr>
              <w:widowControl/>
              <w:jc w:val="left"/>
              <w:rPr>
                <w:rFonts w:cs="宋体" w:asciiTheme="minorEastAsia" w:hAnsiTheme="minorEastAsia" w:eastAsiaTheme="minorEastAsia"/>
                <w:kern w:val="0"/>
                <w:szCs w:val="21"/>
              </w:rPr>
            </w:pPr>
          </w:p>
        </w:tc>
        <w:tc>
          <w:tcPr>
            <w:tcW w:w="890" w:type="dxa"/>
            <w:vMerge w:val="continue"/>
            <w:tcBorders>
              <w:left w:val="single" w:color="auto" w:sz="4" w:space="0"/>
              <w:right w:val="single" w:color="auto" w:sz="4" w:space="0"/>
            </w:tcBorders>
            <w:vAlign w:val="center"/>
          </w:tcPr>
          <w:p w14:paraId="301F4995">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6556ACC1">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二次冷冻水泵(30KW)</w:t>
            </w:r>
          </w:p>
        </w:tc>
        <w:tc>
          <w:tcPr>
            <w:tcW w:w="999" w:type="dxa"/>
            <w:tcBorders>
              <w:top w:val="nil"/>
              <w:left w:val="nil"/>
              <w:bottom w:val="single" w:color="auto" w:sz="4" w:space="0"/>
              <w:right w:val="single" w:color="auto" w:sz="4" w:space="0"/>
            </w:tcBorders>
            <w:vAlign w:val="center"/>
          </w:tcPr>
          <w:p w14:paraId="5FA46DE2">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c>
          <w:tcPr>
            <w:tcW w:w="3298" w:type="dxa"/>
            <w:tcBorders>
              <w:top w:val="nil"/>
              <w:left w:val="nil"/>
              <w:bottom w:val="single" w:color="auto" w:sz="4" w:space="0"/>
              <w:right w:val="single" w:color="auto" w:sz="4" w:space="0"/>
            </w:tcBorders>
            <w:vAlign w:val="center"/>
          </w:tcPr>
          <w:p w14:paraId="48B22A44">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每月检查1次及日常检查维护</w:t>
            </w:r>
          </w:p>
        </w:tc>
      </w:tr>
      <w:tr w14:paraId="3DDF374B">
        <w:tblPrEx>
          <w:tblCellMar>
            <w:top w:w="0" w:type="dxa"/>
            <w:left w:w="108" w:type="dxa"/>
            <w:bottom w:w="0" w:type="dxa"/>
            <w:right w:w="108" w:type="dxa"/>
          </w:tblCellMar>
        </w:tblPrEx>
        <w:trPr>
          <w:trHeight w:val="404" w:hRule="atLeast"/>
        </w:trPr>
        <w:tc>
          <w:tcPr>
            <w:tcW w:w="460" w:type="dxa"/>
            <w:vMerge w:val="continue"/>
            <w:tcBorders>
              <w:left w:val="single" w:color="auto" w:sz="4" w:space="0"/>
              <w:right w:val="single" w:color="auto" w:sz="4" w:space="0"/>
            </w:tcBorders>
            <w:vAlign w:val="center"/>
          </w:tcPr>
          <w:p w14:paraId="06CF6ADE">
            <w:pPr>
              <w:widowControl/>
              <w:jc w:val="left"/>
              <w:rPr>
                <w:rFonts w:cs="宋体" w:asciiTheme="minorEastAsia" w:hAnsiTheme="minorEastAsia" w:eastAsiaTheme="minorEastAsia"/>
                <w:kern w:val="0"/>
                <w:szCs w:val="21"/>
              </w:rPr>
            </w:pPr>
          </w:p>
        </w:tc>
        <w:tc>
          <w:tcPr>
            <w:tcW w:w="890" w:type="dxa"/>
            <w:vMerge w:val="continue"/>
            <w:tcBorders>
              <w:left w:val="single" w:color="auto" w:sz="4" w:space="0"/>
              <w:right w:val="single" w:color="auto" w:sz="4" w:space="0"/>
            </w:tcBorders>
            <w:vAlign w:val="center"/>
          </w:tcPr>
          <w:p w14:paraId="61F83804">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5F783E9D">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二次冷冻水泵(11KW)</w:t>
            </w:r>
          </w:p>
        </w:tc>
        <w:tc>
          <w:tcPr>
            <w:tcW w:w="999" w:type="dxa"/>
            <w:tcBorders>
              <w:top w:val="nil"/>
              <w:left w:val="nil"/>
              <w:bottom w:val="single" w:color="auto" w:sz="4" w:space="0"/>
              <w:right w:val="single" w:color="auto" w:sz="4" w:space="0"/>
            </w:tcBorders>
            <w:vAlign w:val="center"/>
          </w:tcPr>
          <w:p w14:paraId="167533AA">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c>
          <w:tcPr>
            <w:tcW w:w="3298" w:type="dxa"/>
            <w:tcBorders>
              <w:top w:val="nil"/>
              <w:left w:val="nil"/>
              <w:bottom w:val="single" w:color="auto" w:sz="4" w:space="0"/>
              <w:right w:val="single" w:color="auto" w:sz="4" w:space="0"/>
            </w:tcBorders>
            <w:vAlign w:val="center"/>
          </w:tcPr>
          <w:p w14:paraId="609501E3">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每月检查1次及日常检查维护</w:t>
            </w:r>
          </w:p>
        </w:tc>
      </w:tr>
      <w:tr w14:paraId="09757C6A">
        <w:tblPrEx>
          <w:tblCellMar>
            <w:top w:w="0" w:type="dxa"/>
            <w:left w:w="108" w:type="dxa"/>
            <w:bottom w:w="0" w:type="dxa"/>
            <w:right w:w="108" w:type="dxa"/>
          </w:tblCellMar>
        </w:tblPrEx>
        <w:trPr>
          <w:trHeight w:val="404" w:hRule="atLeast"/>
        </w:trPr>
        <w:tc>
          <w:tcPr>
            <w:tcW w:w="460" w:type="dxa"/>
            <w:vMerge w:val="continue"/>
            <w:tcBorders>
              <w:left w:val="single" w:color="auto" w:sz="4" w:space="0"/>
              <w:bottom w:val="single" w:color="auto" w:sz="4" w:space="0"/>
              <w:right w:val="single" w:color="auto" w:sz="4" w:space="0"/>
            </w:tcBorders>
            <w:vAlign w:val="center"/>
          </w:tcPr>
          <w:p w14:paraId="27BDA3CC">
            <w:pPr>
              <w:widowControl/>
              <w:jc w:val="left"/>
              <w:rPr>
                <w:rFonts w:cs="宋体" w:asciiTheme="minorEastAsia" w:hAnsiTheme="minorEastAsia" w:eastAsiaTheme="minorEastAsia"/>
                <w:kern w:val="0"/>
                <w:szCs w:val="21"/>
              </w:rPr>
            </w:pPr>
          </w:p>
        </w:tc>
        <w:tc>
          <w:tcPr>
            <w:tcW w:w="890" w:type="dxa"/>
            <w:vMerge w:val="continue"/>
            <w:tcBorders>
              <w:left w:val="single" w:color="auto" w:sz="4" w:space="0"/>
              <w:bottom w:val="single" w:color="auto" w:sz="4" w:space="0"/>
              <w:right w:val="single" w:color="auto" w:sz="4" w:space="0"/>
            </w:tcBorders>
            <w:vAlign w:val="center"/>
          </w:tcPr>
          <w:p w14:paraId="4268733D">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6940EC61">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冷却塔电机及设备</w:t>
            </w:r>
          </w:p>
        </w:tc>
        <w:tc>
          <w:tcPr>
            <w:tcW w:w="999" w:type="dxa"/>
            <w:tcBorders>
              <w:top w:val="nil"/>
              <w:left w:val="nil"/>
              <w:bottom w:val="single" w:color="auto" w:sz="4" w:space="0"/>
              <w:right w:val="single" w:color="auto" w:sz="4" w:space="0"/>
            </w:tcBorders>
            <w:vAlign w:val="center"/>
          </w:tcPr>
          <w:p w14:paraId="3EE973C3">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12台</w:t>
            </w:r>
          </w:p>
        </w:tc>
        <w:tc>
          <w:tcPr>
            <w:tcW w:w="3298" w:type="dxa"/>
            <w:tcBorders>
              <w:top w:val="nil"/>
              <w:left w:val="nil"/>
              <w:bottom w:val="single" w:color="auto" w:sz="4" w:space="0"/>
              <w:right w:val="single" w:color="auto" w:sz="4" w:space="0"/>
            </w:tcBorders>
            <w:vAlign w:val="center"/>
          </w:tcPr>
          <w:p w14:paraId="37B27F85">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每月检查1次及日常检查维护</w:t>
            </w:r>
          </w:p>
        </w:tc>
      </w:tr>
      <w:tr w14:paraId="43BBB81D">
        <w:tblPrEx>
          <w:tblCellMar>
            <w:top w:w="0" w:type="dxa"/>
            <w:left w:w="108" w:type="dxa"/>
            <w:bottom w:w="0" w:type="dxa"/>
            <w:right w:w="108" w:type="dxa"/>
          </w:tblCellMar>
        </w:tblPrEx>
        <w:trPr>
          <w:trHeight w:val="404" w:hRule="atLeast"/>
        </w:trPr>
        <w:tc>
          <w:tcPr>
            <w:tcW w:w="460" w:type="dxa"/>
            <w:vMerge w:val="restart"/>
            <w:tcBorders>
              <w:top w:val="nil"/>
              <w:left w:val="single" w:color="auto" w:sz="4" w:space="0"/>
              <w:bottom w:val="single" w:color="auto" w:sz="4" w:space="0"/>
              <w:right w:val="single" w:color="auto" w:sz="4" w:space="0"/>
            </w:tcBorders>
            <w:noWrap/>
            <w:vAlign w:val="center"/>
          </w:tcPr>
          <w:p w14:paraId="46767463">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890" w:type="dxa"/>
            <w:vMerge w:val="restart"/>
            <w:tcBorders>
              <w:top w:val="nil"/>
              <w:left w:val="single" w:color="auto" w:sz="4" w:space="0"/>
              <w:bottom w:val="single" w:color="auto" w:sz="4" w:space="0"/>
              <w:right w:val="single" w:color="auto" w:sz="4" w:space="0"/>
            </w:tcBorders>
            <w:vAlign w:val="center"/>
          </w:tcPr>
          <w:p w14:paraId="6857A0AD">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热水泵</w:t>
            </w:r>
          </w:p>
        </w:tc>
        <w:tc>
          <w:tcPr>
            <w:tcW w:w="3655" w:type="dxa"/>
            <w:tcBorders>
              <w:top w:val="nil"/>
              <w:left w:val="nil"/>
              <w:bottom w:val="single" w:color="auto" w:sz="4" w:space="0"/>
              <w:right w:val="single" w:color="auto" w:sz="4" w:space="0"/>
            </w:tcBorders>
            <w:vAlign w:val="center"/>
          </w:tcPr>
          <w:p w14:paraId="5A0E1015">
            <w:pPr>
              <w:widowControl/>
              <w:jc w:val="center"/>
              <w:rPr>
                <w:rFonts w:cs="宋体" w:asciiTheme="minorEastAsia" w:hAnsiTheme="minorEastAsia" w:eastAsiaTheme="minorEastAsia"/>
                <w:kern w:val="0"/>
                <w:szCs w:val="21"/>
              </w:rPr>
            </w:pPr>
          </w:p>
          <w:p w14:paraId="1F19F8FF">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热水泵（15KW）</w:t>
            </w:r>
          </w:p>
        </w:tc>
        <w:tc>
          <w:tcPr>
            <w:tcW w:w="999" w:type="dxa"/>
            <w:tcBorders>
              <w:top w:val="nil"/>
              <w:left w:val="nil"/>
              <w:bottom w:val="single" w:color="auto" w:sz="4" w:space="0"/>
              <w:right w:val="single" w:color="auto" w:sz="4" w:space="0"/>
            </w:tcBorders>
            <w:vAlign w:val="center"/>
          </w:tcPr>
          <w:p w14:paraId="1E3B47E1">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c>
          <w:tcPr>
            <w:tcW w:w="3298" w:type="dxa"/>
            <w:tcBorders>
              <w:top w:val="nil"/>
              <w:left w:val="nil"/>
              <w:bottom w:val="single" w:color="auto" w:sz="4" w:space="0"/>
              <w:right w:val="single" w:color="auto" w:sz="4" w:space="0"/>
            </w:tcBorders>
            <w:vAlign w:val="center"/>
          </w:tcPr>
          <w:p w14:paraId="7ED839AE">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每月检查1次及日常检查维护</w:t>
            </w:r>
          </w:p>
        </w:tc>
      </w:tr>
      <w:tr w14:paraId="72DB7C9B">
        <w:tblPrEx>
          <w:tblCellMar>
            <w:top w:w="0" w:type="dxa"/>
            <w:left w:w="108" w:type="dxa"/>
            <w:bottom w:w="0" w:type="dxa"/>
            <w:right w:w="108" w:type="dxa"/>
          </w:tblCellMar>
        </w:tblPrEx>
        <w:trPr>
          <w:trHeight w:val="404" w:hRule="atLeast"/>
        </w:trPr>
        <w:tc>
          <w:tcPr>
            <w:tcW w:w="460" w:type="dxa"/>
            <w:vMerge w:val="continue"/>
            <w:tcBorders>
              <w:top w:val="nil"/>
              <w:left w:val="single" w:color="auto" w:sz="4" w:space="0"/>
              <w:bottom w:val="single" w:color="auto" w:sz="4" w:space="0"/>
              <w:right w:val="single" w:color="auto" w:sz="4" w:space="0"/>
            </w:tcBorders>
            <w:vAlign w:val="center"/>
          </w:tcPr>
          <w:p w14:paraId="06BC8A62">
            <w:pPr>
              <w:widowControl/>
              <w:jc w:val="left"/>
              <w:rPr>
                <w:rFonts w:cs="宋体" w:asciiTheme="minorEastAsia" w:hAnsiTheme="minorEastAsia" w:eastAsiaTheme="minorEastAsia"/>
                <w:kern w:val="0"/>
                <w:szCs w:val="21"/>
              </w:rPr>
            </w:pPr>
          </w:p>
        </w:tc>
        <w:tc>
          <w:tcPr>
            <w:tcW w:w="890" w:type="dxa"/>
            <w:vMerge w:val="continue"/>
            <w:tcBorders>
              <w:top w:val="nil"/>
              <w:left w:val="single" w:color="auto" w:sz="4" w:space="0"/>
              <w:bottom w:val="single" w:color="auto" w:sz="4" w:space="0"/>
              <w:right w:val="single" w:color="auto" w:sz="4" w:space="0"/>
            </w:tcBorders>
            <w:vAlign w:val="center"/>
          </w:tcPr>
          <w:p w14:paraId="7F545B72">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6B616556">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热水泵（4KW）</w:t>
            </w:r>
          </w:p>
        </w:tc>
        <w:tc>
          <w:tcPr>
            <w:tcW w:w="999" w:type="dxa"/>
            <w:tcBorders>
              <w:top w:val="nil"/>
              <w:left w:val="nil"/>
              <w:bottom w:val="single" w:color="auto" w:sz="4" w:space="0"/>
              <w:right w:val="single" w:color="auto" w:sz="4" w:space="0"/>
            </w:tcBorders>
            <w:vAlign w:val="center"/>
          </w:tcPr>
          <w:p w14:paraId="0A648EDE">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c>
          <w:tcPr>
            <w:tcW w:w="3298" w:type="dxa"/>
            <w:tcBorders>
              <w:top w:val="nil"/>
              <w:left w:val="nil"/>
              <w:bottom w:val="single" w:color="auto" w:sz="4" w:space="0"/>
              <w:right w:val="single" w:color="auto" w:sz="4" w:space="0"/>
            </w:tcBorders>
            <w:vAlign w:val="center"/>
          </w:tcPr>
          <w:p w14:paraId="33B6DC65">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每月检查1次及日常检查维护</w:t>
            </w:r>
          </w:p>
        </w:tc>
      </w:tr>
      <w:tr w14:paraId="778C90E5">
        <w:tblPrEx>
          <w:tblCellMar>
            <w:top w:w="0" w:type="dxa"/>
            <w:left w:w="108" w:type="dxa"/>
            <w:bottom w:w="0" w:type="dxa"/>
            <w:right w:w="108" w:type="dxa"/>
          </w:tblCellMar>
        </w:tblPrEx>
        <w:trPr>
          <w:trHeight w:val="404" w:hRule="atLeast"/>
        </w:trPr>
        <w:tc>
          <w:tcPr>
            <w:tcW w:w="460" w:type="dxa"/>
            <w:vMerge w:val="continue"/>
            <w:tcBorders>
              <w:top w:val="nil"/>
              <w:left w:val="single" w:color="auto" w:sz="4" w:space="0"/>
              <w:bottom w:val="single" w:color="auto" w:sz="4" w:space="0"/>
              <w:right w:val="single" w:color="auto" w:sz="4" w:space="0"/>
            </w:tcBorders>
            <w:vAlign w:val="center"/>
          </w:tcPr>
          <w:p w14:paraId="1C30E36B">
            <w:pPr>
              <w:widowControl/>
              <w:jc w:val="left"/>
              <w:rPr>
                <w:rFonts w:cs="宋体" w:asciiTheme="minorEastAsia" w:hAnsiTheme="minorEastAsia" w:eastAsiaTheme="minorEastAsia"/>
                <w:kern w:val="0"/>
                <w:szCs w:val="21"/>
              </w:rPr>
            </w:pPr>
          </w:p>
        </w:tc>
        <w:tc>
          <w:tcPr>
            <w:tcW w:w="890" w:type="dxa"/>
            <w:vMerge w:val="continue"/>
            <w:tcBorders>
              <w:top w:val="nil"/>
              <w:left w:val="single" w:color="auto" w:sz="4" w:space="0"/>
              <w:bottom w:val="single" w:color="auto" w:sz="4" w:space="0"/>
              <w:right w:val="single" w:color="auto" w:sz="4" w:space="0"/>
            </w:tcBorders>
            <w:vAlign w:val="center"/>
          </w:tcPr>
          <w:p w14:paraId="6B26C205">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27514EE7">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热水泵（11KW）</w:t>
            </w:r>
          </w:p>
        </w:tc>
        <w:tc>
          <w:tcPr>
            <w:tcW w:w="999" w:type="dxa"/>
            <w:tcBorders>
              <w:top w:val="nil"/>
              <w:left w:val="nil"/>
              <w:bottom w:val="single" w:color="auto" w:sz="4" w:space="0"/>
              <w:right w:val="single" w:color="auto" w:sz="4" w:space="0"/>
            </w:tcBorders>
            <w:vAlign w:val="center"/>
          </w:tcPr>
          <w:p w14:paraId="7E2039CD">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c>
          <w:tcPr>
            <w:tcW w:w="3298" w:type="dxa"/>
            <w:tcBorders>
              <w:top w:val="nil"/>
              <w:left w:val="nil"/>
              <w:bottom w:val="single" w:color="auto" w:sz="4" w:space="0"/>
              <w:right w:val="single" w:color="auto" w:sz="4" w:space="0"/>
            </w:tcBorders>
            <w:vAlign w:val="center"/>
          </w:tcPr>
          <w:p w14:paraId="14918690">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每月检查1次及日常检查维护</w:t>
            </w:r>
          </w:p>
        </w:tc>
      </w:tr>
      <w:tr w14:paraId="67B2A88C">
        <w:tblPrEx>
          <w:tblCellMar>
            <w:top w:w="0" w:type="dxa"/>
            <w:left w:w="108" w:type="dxa"/>
            <w:bottom w:w="0" w:type="dxa"/>
            <w:right w:w="108" w:type="dxa"/>
          </w:tblCellMar>
        </w:tblPrEx>
        <w:trPr>
          <w:trHeight w:val="404" w:hRule="atLeast"/>
        </w:trPr>
        <w:tc>
          <w:tcPr>
            <w:tcW w:w="460" w:type="dxa"/>
            <w:vMerge w:val="continue"/>
            <w:tcBorders>
              <w:top w:val="nil"/>
              <w:left w:val="single" w:color="auto" w:sz="4" w:space="0"/>
              <w:bottom w:val="single" w:color="auto" w:sz="4" w:space="0"/>
              <w:right w:val="single" w:color="auto" w:sz="4" w:space="0"/>
            </w:tcBorders>
            <w:vAlign w:val="center"/>
          </w:tcPr>
          <w:p w14:paraId="05541BD2">
            <w:pPr>
              <w:widowControl/>
              <w:jc w:val="left"/>
              <w:rPr>
                <w:rFonts w:cs="宋体" w:asciiTheme="minorEastAsia" w:hAnsiTheme="minorEastAsia" w:eastAsiaTheme="minorEastAsia"/>
                <w:kern w:val="0"/>
                <w:szCs w:val="21"/>
              </w:rPr>
            </w:pPr>
          </w:p>
        </w:tc>
        <w:tc>
          <w:tcPr>
            <w:tcW w:w="890" w:type="dxa"/>
            <w:vMerge w:val="continue"/>
            <w:tcBorders>
              <w:top w:val="nil"/>
              <w:left w:val="single" w:color="auto" w:sz="4" w:space="0"/>
              <w:bottom w:val="single" w:color="auto" w:sz="4" w:space="0"/>
              <w:right w:val="single" w:color="auto" w:sz="4" w:space="0"/>
            </w:tcBorders>
            <w:vAlign w:val="center"/>
          </w:tcPr>
          <w:p w14:paraId="79DF48BD">
            <w:pPr>
              <w:widowControl/>
              <w:jc w:val="left"/>
              <w:rPr>
                <w:rFonts w:cs="宋体" w:asciiTheme="minorEastAsia" w:hAnsiTheme="minorEastAsia" w:eastAsiaTheme="minorEastAsia"/>
                <w:kern w:val="0"/>
                <w:szCs w:val="21"/>
              </w:rPr>
            </w:pPr>
          </w:p>
        </w:tc>
        <w:tc>
          <w:tcPr>
            <w:tcW w:w="3655" w:type="dxa"/>
            <w:tcBorders>
              <w:top w:val="nil"/>
              <w:left w:val="nil"/>
              <w:bottom w:val="single" w:color="auto" w:sz="4" w:space="0"/>
              <w:right w:val="single" w:color="auto" w:sz="4" w:space="0"/>
            </w:tcBorders>
            <w:vAlign w:val="center"/>
          </w:tcPr>
          <w:p w14:paraId="7AD524D8">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热水泵（22KW）</w:t>
            </w:r>
          </w:p>
        </w:tc>
        <w:tc>
          <w:tcPr>
            <w:tcW w:w="999" w:type="dxa"/>
            <w:tcBorders>
              <w:top w:val="nil"/>
              <w:left w:val="nil"/>
              <w:bottom w:val="single" w:color="auto" w:sz="4" w:space="0"/>
              <w:right w:val="single" w:color="auto" w:sz="4" w:space="0"/>
            </w:tcBorders>
            <w:vAlign w:val="center"/>
          </w:tcPr>
          <w:p w14:paraId="0A74D4EB">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c>
          <w:tcPr>
            <w:tcW w:w="3298" w:type="dxa"/>
            <w:tcBorders>
              <w:top w:val="nil"/>
              <w:left w:val="nil"/>
              <w:bottom w:val="single" w:color="auto" w:sz="4" w:space="0"/>
              <w:right w:val="single" w:color="auto" w:sz="4" w:space="0"/>
            </w:tcBorders>
            <w:vAlign w:val="center"/>
          </w:tcPr>
          <w:p w14:paraId="40DA9D48">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每月检查1次及日常检查维护</w:t>
            </w:r>
          </w:p>
        </w:tc>
      </w:tr>
      <w:tr w14:paraId="4888CECD">
        <w:tblPrEx>
          <w:tblCellMar>
            <w:top w:w="0" w:type="dxa"/>
            <w:left w:w="108" w:type="dxa"/>
            <w:bottom w:w="0" w:type="dxa"/>
            <w:right w:w="108" w:type="dxa"/>
          </w:tblCellMar>
        </w:tblPrEx>
        <w:trPr>
          <w:trHeight w:val="814" w:hRule="atLeast"/>
        </w:trPr>
        <w:tc>
          <w:tcPr>
            <w:tcW w:w="460" w:type="dxa"/>
            <w:tcBorders>
              <w:top w:val="nil"/>
              <w:left w:val="single" w:color="auto" w:sz="4" w:space="0"/>
              <w:bottom w:val="single" w:color="auto" w:sz="4" w:space="0"/>
              <w:right w:val="single" w:color="auto" w:sz="4" w:space="0"/>
            </w:tcBorders>
            <w:noWrap/>
            <w:vAlign w:val="center"/>
          </w:tcPr>
          <w:p w14:paraId="04DA57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w:t>
            </w:r>
          </w:p>
        </w:tc>
        <w:tc>
          <w:tcPr>
            <w:tcW w:w="890" w:type="dxa"/>
            <w:tcBorders>
              <w:top w:val="nil"/>
              <w:left w:val="nil"/>
              <w:bottom w:val="single" w:color="auto" w:sz="4" w:space="0"/>
              <w:right w:val="single" w:color="auto" w:sz="4" w:space="0"/>
            </w:tcBorders>
            <w:vAlign w:val="center"/>
          </w:tcPr>
          <w:p w14:paraId="610195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空调系统水质处理</w:t>
            </w:r>
          </w:p>
        </w:tc>
        <w:tc>
          <w:tcPr>
            <w:tcW w:w="3655" w:type="dxa"/>
            <w:tcBorders>
              <w:top w:val="nil"/>
              <w:left w:val="nil"/>
              <w:bottom w:val="single" w:color="auto" w:sz="4" w:space="0"/>
              <w:right w:val="single" w:color="auto" w:sz="4" w:space="0"/>
            </w:tcBorders>
            <w:vAlign w:val="center"/>
          </w:tcPr>
          <w:p w14:paraId="121739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冷却水和冷冻水水质处理工作内容含：系统清洗、杀菌灭藻、缓蚀阻垢、钝化预膜、翅片清洗，水质化验检测等</w:t>
            </w:r>
          </w:p>
        </w:tc>
        <w:tc>
          <w:tcPr>
            <w:tcW w:w="999" w:type="dxa"/>
            <w:tcBorders>
              <w:top w:val="nil"/>
              <w:left w:val="nil"/>
              <w:bottom w:val="single" w:color="auto" w:sz="4" w:space="0"/>
              <w:right w:val="single" w:color="auto" w:sz="4" w:space="0"/>
            </w:tcBorders>
            <w:vAlign w:val="center"/>
          </w:tcPr>
          <w:p w14:paraId="31983A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1项</w:t>
            </w:r>
          </w:p>
        </w:tc>
        <w:tc>
          <w:tcPr>
            <w:tcW w:w="3298" w:type="dxa"/>
            <w:tcBorders>
              <w:top w:val="nil"/>
              <w:left w:val="nil"/>
              <w:bottom w:val="single" w:color="auto" w:sz="4" w:space="0"/>
              <w:right w:val="single" w:color="auto" w:sz="4" w:space="0"/>
            </w:tcBorders>
            <w:vAlign w:val="center"/>
          </w:tcPr>
          <w:p w14:paraId="45781062">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每月进行1-2次水处理（含清洗保养药剂材料），清洗冷却塔、冷冻补水箱及膨胀水箱等日常维护保养工作。</w:t>
            </w:r>
          </w:p>
        </w:tc>
      </w:tr>
      <w:tr w14:paraId="6C621DBC">
        <w:tblPrEx>
          <w:tblCellMar>
            <w:top w:w="0" w:type="dxa"/>
            <w:left w:w="108" w:type="dxa"/>
            <w:bottom w:w="0" w:type="dxa"/>
            <w:right w:w="108" w:type="dxa"/>
          </w:tblCellMar>
        </w:tblPrEx>
        <w:trPr>
          <w:trHeight w:val="563" w:hRule="atLeast"/>
        </w:trPr>
        <w:tc>
          <w:tcPr>
            <w:tcW w:w="460" w:type="dxa"/>
            <w:vMerge w:val="restart"/>
            <w:tcBorders>
              <w:top w:val="single" w:color="auto" w:sz="4" w:space="0"/>
              <w:left w:val="single" w:color="auto" w:sz="4" w:space="0"/>
              <w:right w:val="single" w:color="auto" w:sz="4" w:space="0"/>
            </w:tcBorders>
            <w:noWrap/>
            <w:vAlign w:val="center"/>
          </w:tcPr>
          <w:p w14:paraId="2D57856C">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w:t>
            </w:r>
          </w:p>
        </w:tc>
        <w:tc>
          <w:tcPr>
            <w:tcW w:w="890" w:type="dxa"/>
            <w:vMerge w:val="restart"/>
            <w:tcBorders>
              <w:top w:val="single" w:color="auto" w:sz="4" w:space="0"/>
              <w:left w:val="nil"/>
              <w:right w:val="single" w:color="auto" w:sz="4" w:space="0"/>
            </w:tcBorders>
            <w:vAlign w:val="center"/>
          </w:tcPr>
          <w:p w14:paraId="05F6FAB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维修维护保养</w:t>
            </w:r>
          </w:p>
          <w:p w14:paraId="49FC77F6">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配件耗材</w:t>
            </w:r>
          </w:p>
          <w:p w14:paraId="167EB8B2">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（冷冻油、油过滤器、干燥过滤器、制冷剂等）</w:t>
            </w:r>
          </w:p>
        </w:tc>
        <w:tc>
          <w:tcPr>
            <w:tcW w:w="3655" w:type="dxa"/>
            <w:tcBorders>
              <w:top w:val="single" w:color="auto" w:sz="4" w:space="0"/>
              <w:left w:val="nil"/>
              <w:bottom w:val="single" w:color="auto" w:sz="4" w:space="0"/>
              <w:right w:val="single" w:color="auto" w:sz="4" w:space="0"/>
            </w:tcBorders>
            <w:vAlign w:val="center"/>
          </w:tcPr>
          <w:p w14:paraId="0A33D13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约克“K型”冷冻油</w:t>
            </w:r>
          </w:p>
        </w:tc>
        <w:tc>
          <w:tcPr>
            <w:tcW w:w="999" w:type="dxa"/>
            <w:tcBorders>
              <w:top w:val="single" w:color="auto" w:sz="4" w:space="0"/>
              <w:left w:val="nil"/>
              <w:bottom w:val="single" w:color="auto" w:sz="4" w:space="0"/>
              <w:right w:val="single" w:color="auto" w:sz="4" w:space="0"/>
            </w:tcBorders>
            <w:vAlign w:val="center"/>
          </w:tcPr>
          <w:p w14:paraId="1C7AD17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11桶</w:t>
            </w:r>
          </w:p>
        </w:tc>
        <w:tc>
          <w:tcPr>
            <w:tcW w:w="3298" w:type="dxa"/>
            <w:tcBorders>
              <w:top w:val="single" w:color="auto" w:sz="4" w:space="0"/>
              <w:left w:val="nil"/>
              <w:bottom w:val="single" w:color="auto" w:sz="4" w:space="0"/>
              <w:right w:val="single" w:color="auto" w:sz="4" w:space="0"/>
            </w:tcBorders>
            <w:vAlign w:val="center"/>
          </w:tcPr>
          <w:p w14:paraId="39929AAF">
            <w:pPr>
              <w:spacing w:line="400" w:lineRule="exact"/>
              <w:ind w:right="128" w:rightChars="61"/>
              <w:jc w:val="center"/>
              <w:rPr>
                <w:rFonts w:asciiTheme="minorEastAsia" w:hAnsiTheme="minorEastAsia" w:eastAsiaTheme="minorEastAsia"/>
                <w:szCs w:val="21"/>
              </w:rPr>
            </w:pPr>
          </w:p>
        </w:tc>
      </w:tr>
      <w:tr w14:paraId="1343A317">
        <w:tblPrEx>
          <w:tblCellMar>
            <w:top w:w="0" w:type="dxa"/>
            <w:left w:w="108" w:type="dxa"/>
            <w:bottom w:w="0" w:type="dxa"/>
            <w:right w:w="108" w:type="dxa"/>
          </w:tblCellMar>
        </w:tblPrEx>
        <w:trPr>
          <w:trHeight w:val="623" w:hRule="atLeast"/>
        </w:trPr>
        <w:tc>
          <w:tcPr>
            <w:tcW w:w="460" w:type="dxa"/>
            <w:vMerge w:val="continue"/>
            <w:tcBorders>
              <w:left w:val="single" w:color="auto" w:sz="4" w:space="0"/>
              <w:right w:val="single" w:color="auto" w:sz="4" w:space="0"/>
            </w:tcBorders>
            <w:noWrap/>
            <w:vAlign w:val="center"/>
          </w:tcPr>
          <w:p w14:paraId="0571EFAC">
            <w:pPr>
              <w:widowControl/>
              <w:jc w:val="center"/>
              <w:rPr>
                <w:rFonts w:cs="宋体" w:asciiTheme="minorEastAsia" w:hAnsiTheme="minorEastAsia" w:eastAsiaTheme="minorEastAsia"/>
                <w:kern w:val="0"/>
                <w:szCs w:val="21"/>
              </w:rPr>
            </w:pPr>
          </w:p>
        </w:tc>
        <w:tc>
          <w:tcPr>
            <w:tcW w:w="890" w:type="dxa"/>
            <w:vMerge w:val="continue"/>
            <w:tcBorders>
              <w:left w:val="nil"/>
              <w:right w:val="single" w:color="auto" w:sz="4" w:space="0"/>
            </w:tcBorders>
            <w:vAlign w:val="center"/>
          </w:tcPr>
          <w:p w14:paraId="6E74356B">
            <w:pPr>
              <w:spacing w:line="400" w:lineRule="exact"/>
              <w:jc w:val="center"/>
              <w:rPr>
                <w:rFonts w:asciiTheme="minorEastAsia" w:hAnsiTheme="minorEastAsia" w:eastAsiaTheme="minorEastAsia"/>
                <w:szCs w:val="21"/>
              </w:rPr>
            </w:pPr>
          </w:p>
        </w:tc>
        <w:tc>
          <w:tcPr>
            <w:tcW w:w="3655" w:type="dxa"/>
            <w:tcBorders>
              <w:top w:val="single" w:color="auto" w:sz="4" w:space="0"/>
              <w:left w:val="nil"/>
              <w:bottom w:val="single" w:color="auto" w:sz="4" w:space="0"/>
              <w:right w:val="single" w:color="auto" w:sz="4" w:space="0"/>
            </w:tcBorders>
            <w:vAlign w:val="center"/>
          </w:tcPr>
          <w:p w14:paraId="2D86317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约克YK油过滤器</w:t>
            </w:r>
          </w:p>
        </w:tc>
        <w:tc>
          <w:tcPr>
            <w:tcW w:w="999" w:type="dxa"/>
            <w:tcBorders>
              <w:top w:val="single" w:color="auto" w:sz="4" w:space="0"/>
              <w:left w:val="nil"/>
              <w:bottom w:val="single" w:color="auto" w:sz="4" w:space="0"/>
              <w:right w:val="single" w:color="auto" w:sz="4" w:space="0"/>
            </w:tcBorders>
            <w:vAlign w:val="center"/>
          </w:tcPr>
          <w:p w14:paraId="1CB7A665">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4个</w:t>
            </w:r>
          </w:p>
        </w:tc>
        <w:tc>
          <w:tcPr>
            <w:tcW w:w="3298" w:type="dxa"/>
            <w:tcBorders>
              <w:top w:val="single" w:color="auto" w:sz="4" w:space="0"/>
              <w:left w:val="nil"/>
              <w:bottom w:val="single" w:color="auto" w:sz="4" w:space="0"/>
              <w:right w:val="single" w:color="auto" w:sz="4" w:space="0"/>
            </w:tcBorders>
            <w:vAlign w:val="center"/>
          </w:tcPr>
          <w:p w14:paraId="125A8DD0">
            <w:pPr>
              <w:spacing w:line="400" w:lineRule="exact"/>
              <w:ind w:right="128" w:rightChars="61"/>
              <w:jc w:val="center"/>
              <w:rPr>
                <w:rFonts w:asciiTheme="minorEastAsia" w:hAnsiTheme="minorEastAsia" w:eastAsiaTheme="minorEastAsia"/>
                <w:szCs w:val="21"/>
              </w:rPr>
            </w:pPr>
          </w:p>
        </w:tc>
      </w:tr>
      <w:tr w14:paraId="32F48294">
        <w:tblPrEx>
          <w:tblCellMar>
            <w:top w:w="0" w:type="dxa"/>
            <w:left w:w="108" w:type="dxa"/>
            <w:bottom w:w="0" w:type="dxa"/>
            <w:right w:w="108" w:type="dxa"/>
          </w:tblCellMar>
        </w:tblPrEx>
        <w:trPr>
          <w:trHeight w:val="508" w:hRule="atLeast"/>
        </w:trPr>
        <w:tc>
          <w:tcPr>
            <w:tcW w:w="460" w:type="dxa"/>
            <w:vMerge w:val="continue"/>
            <w:tcBorders>
              <w:left w:val="single" w:color="auto" w:sz="4" w:space="0"/>
              <w:right w:val="single" w:color="auto" w:sz="4" w:space="0"/>
            </w:tcBorders>
            <w:noWrap/>
            <w:vAlign w:val="center"/>
          </w:tcPr>
          <w:p w14:paraId="53A5B88D">
            <w:pPr>
              <w:widowControl/>
              <w:jc w:val="center"/>
              <w:rPr>
                <w:rFonts w:cs="宋体" w:asciiTheme="minorEastAsia" w:hAnsiTheme="minorEastAsia" w:eastAsiaTheme="minorEastAsia"/>
                <w:kern w:val="0"/>
                <w:szCs w:val="21"/>
              </w:rPr>
            </w:pPr>
          </w:p>
        </w:tc>
        <w:tc>
          <w:tcPr>
            <w:tcW w:w="890" w:type="dxa"/>
            <w:vMerge w:val="continue"/>
            <w:tcBorders>
              <w:left w:val="nil"/>
              <w:right w:val="single" w:color="auto" w:sz="4" w:space="0"/>
            </w:tcBorders>
            <w:vAlign w:val="center"/>
          </w:tcPr>
          <w:p w14:paraId="278605E4">
            <w:pPr>
              <w:spacing w:line="400" w:lineRule="exact"/>
              <w:jc w:val="center"/>
              <w:rPr>
                <w:rFonts w:asciiTheme="minorEastAsia" w:hAnsiTheme="minorEastAsia" w:eastAsiaTheme="minorEastAsia"/>
                <w:szCs w:val="21"/>
              </w:rPr>
            </w:pPr>
          </w:p>
        </w:tc>
        <w:tc>
          <w:tcPr>
            <w:tcW w:w="3655" w:type="dxa"/>
            <w:tcBorders>
              <w:top w:val="single" w:color="auto" w:sz="4" w:space="0"/>
              <w:left w:val="nil"/>
              <w:bottom w:val="single" w:color="auto" w:sz="4" w:space="0"/>
              <w:right w:val="single" w:color="auto" w:sz="4" w:space="0"/>
            </w:tcBorders>
            <w:vAlign w:val="center"/>
          </w:tcPr>
          <w:p w14:paraId="69EB0AC1">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约克YK回油过滤器</w:t>
            </w:r>
          </w:p>
        </w:tc>
        <w:tc>
          <w:tcPr>
            <w:tcW w:w="999" w:type="dxa"/>
            <w:tcBorders>
              <w:top w:val="single" w:color="auto" w:sz="4" w:space="0"/>
              <w:left w:val="nil"/>
              <w:bottom w:val="single" w:color="auto" w:sz="4" w:space="0"/>
              <w:right w:val="single" w:color="auto" w:sz="4" w:space="0"/>
            </w:tcBorders>
            <w:vAlign w:val="center"/>
          </w:tcPr>
          <w:p w14:paraId="1C39C83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2个</w:t>
            </w:r>
          </w:p>
        </w:tc>
        <w:tc>
          <w:tcPr>
            <w:tcW w:w="3298" w:type="dxa"/>
            <w:tcBorders>
              <w:top w:val="single" w:color="auto" w:sz="4" w:space="0"/>
              <w:left w:val="nil"/>
              <w:bottom w:val="single" w:color="auto" w:sz="4" w:space="0"/>
              <w:right w:val="single" w:color="auto" w:sz="4" w:space="0"/>
            </w:tcBorders>
            <w:vAlign w:val="center"/>
          </w:tcPr>
          <w:p w14:paraId="3F547A26">
            <w:pPr>
              <w:spacing w:line="400" w:lineRule="exact"/>
              <w:ind w:right="128" w:rightChars="61"/>
              <w:jc w:val="center"/>
              <w:rPr>
                <w:rFonts w:asciiTheme="minorEastAsia" w:hAnsiTheme="minorEastAsia" w:eastAsiaTheme="minorEastAsia"/>
                <w:szCs w:val="21"/>
              </w:rPr>
            </w:pPr>
          </w:p>
        </w:tc>
      </w:tr>
      <w:tr w14:paraId="2A8A3CA3">
        <w:tblPrEx>
          <w:tblCellMar>
            <w:top w:w="0" w:type="dxa"/>
            <w:left w:w="108" w:type="dxa"/>
            <w:bottom w:w="0" w:type="dxa"/>
            <w:right w:w="108" w:type="dxa"/>
          </w:tblCellMar>
        </w:tblPrEx>
        <w:trPr>
          <w:trHeight w:val="598" w:hRule="atLeast"/>
        </w:trPr>
        <w:tc>
          <w:tcPr>
            <w:tcW w:w="460" w:type="dxa"/>
            <w:vMerge w:val="continue"/>
            <w:tcBorders>
              <w:left w:val="single" w:color="auto" w:sz="4" w:space="0"/>
              <w:right w:val="single" w:color="auto" w:sz="4" w:space="0"/>
            </w:tcBorders>
            <w:noWrap/>
            <w:vAlign w:val="center"/>
          </w:tcPr>
          <w:p w14:paraId="26A33821">
            <w:pPr>
              <w:widowControl/>
              <w:jc w:val="center"/>
              <w:rPr>
                <w:rFonts w:cs="宋体" w:asciiTheme="minorEastAsia" w:hAnsiTheme="minorEastAsia" w:eastAsiaTheme="minorEastAsia"/>
                <w:kern w:val="0"/>
                <w:szCs w:val="21"/>
              </w:rPr>
            </w:pPr>
          </w:p>
        </w:tc>
        <w:tc>
          <w:tcPr>
            <w:tcW w:w="890" w:type="dxa"/>
            <w:vMerge w:val="continue"/>
            <w:tcBorders>
              <w:left w:val="nil"/>
              <w:right w:val="single" w:color="auto" w:sz="4" w:space="0"/>
            </w:tcBorders>
            <w:vAlign w:val="center"/>
          </w:tcPr>
          <w:p w14:paraId="49C01F8B">
            <w:pPr>
              <w:spacing w:line="400" w:lineRule="exact"/>
              <w:jc w:val="center"/>
              <w:rPr>
                <w:rFonts w:asciiTheme="minorEastAsia" w:hAnsiTheme="minorEastAsia" w:eastAsiaTheme="minorEastAsia"/>
                <w:szCs w:val="21"/>
              </w:rPr>
            </w:pPr>
          </w:p>
        </w:tc>
        <w:tc>
          <w:tcPr>
            <w:tcW w:w="3655" w:type="dxa"/>
            <w:tcBorders>
              <w:top w:val="single" w:color="auto" w:sz="4" w:space="0"/>
              <w:left w:val="nil"/>
              <w:bottom w:val="single" w:color="auto" w:sz="4" w:space="0"/>
              <w:right w:val="single" w:color="auto" w:sz="4" w:space="0"/>
            </w:tcBorders>
            <w:vAlign w:val="center"/>
          </w:tcPr>
          <w:p w14:paraId="52BE63A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约克YK密封件</w:t>
            </w:r>
          </w:p>
        </w:tc>
        <w:tc>
          <w:tcPr>
            <w:tcW w:w="999" w:type="dxa"/>
            <w:tcBorders>
              <w:top w:val="single" w:color="auto" w:sz="4" w:space="0"/>
              <w:left w:val="nil"/>
              <w:bottom w:val="single" w:color="auto" w:sz="4" w:space="0"/>
              <w:right w:val="single" w:color="auto" w:sz="4" w:space="0"/>
            </w:tcBorders>
            <w:vAlign w:val="center"/>
          </w:tcPr>
          <w:p w14:paraId="7EDA986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1项</w:t>
            </w:r>
          </w:p>
        </w:tc>
        <w:tc>
          <w:tcPr>
            <w:tcW w:w="3298" w:type="dxa"/>
            <w:tcBorders>
              <w:top w:val="single" w:color="auto" w:sz="4" w:space="0"/>
              <w:left w:val="nil"/>
              <w:bottom w:val="single" w:color="auto" w:sz="4" w:space="0"/>
              <w:right w:val="single" w:color="auto" w:sz="4" w:space="0"/>
            </w:tcBorders>
            <w:vAlign w:val="center"/>
          </w:tcPr>
          <w:p w14:paraId="6B8B6297">
            <w:pPr>
              <w:spacing w:line="400" w:lineRule="exact"/>
              <w:ind w:right="128" w:rightChars="61"/>
              <w:jc w:val="center"/>
              <w:rPr>
                <w:rFonts w:asciiTheme="minorEastAsia" w:hAnsiTheme="minorEastAsia" w:eastAsiaTheme="minorEastAsia"/>
                <w:szCs w:val="21"/>
              </w:rPr>
            </w:pPr>
          </w:p>
        </w:tc>
      </w:tr>
      <w:tr w14:paraId="211B7F21">
        <w:tblPrEx>
          <w:tblCellMar>
            <w:top w:w="0" w:type="dxa"/>
            <w:left w:w="108" w:type="dxa"/>
            <w:bottom w:w="0" w:type="dxa"/>
            <w:right w:w="108" w:type="dxa"/>
          </w:tblCellMar>
        </w:tblPrEx>
        <w:trPr>
          <w:trHeight w:val="814" w:hRule="atLeast"/>
        </w:trPr>
        <w:tc>
          <w:tcPr>
            <w:tcW w:w="460" w:type="dxa"/>
            <w:vMerge w:val="continue"/>
            <w:tcBorders>
              <w:left w:val="single" w:color="auto" w:sz="4" w:space="0"/>
              <w:right w:val="single" w:color="auto" w:sz="4" w:space="0"/>
            </w:tcBorders>
            <w:noWrap/>
            <w:vAlign w:val="center"/>
          </w:tcPr>
          <w:p w14:paraId="23B199B3">
            <w:pPr>
              <w:widowControl/>
              <w:jc w:val="center"/>
              <w:rPr>
                <w:rFonts w:cs="宋体" w:asciiTheme="minorEastAsia" w:hAnsiTheme="minorEastAsia" w:eastAsiaTheme="minorEastAsia"/>
                <w:kern w:val="0"/>
                <w:szCs w:val="21"/>
              </w:rPr>
            </w:pPr>
          </w:p>
        </w:tc>
        <w:tc>
          <w:tcPr>
            <w:tcW w:w="890" w:type="dxa"/>
            <w:vMerge w:val="continue"/>
            <w:tcBorders>
              <w:left w:val="nil"/>
              <w:right w:val="single" w:color="auto" w:sz="4" w:space="0"/>
            </w:tcBorders>
            <w:vAlign w:val="center"/>
          </w:tcPr>
          <w:p w14:paraId="1E8E16AE">
            <w:pPr>
              <w:spacing w:line="400" w:lineRule="exact"/>
              <w:jc w:val="center"/>
              <w:rPr>
                <w:rFonts w:asciiTheme="minorEastAsia" w:hAnsiTheme="minorEastAsia" w:eastAsiaTheme="minorEastAsia"/>
                <w:szCs w:val="21"/>
              </w:rPr>
            </w:pPr>
          </w:p>
        </w:tc>
        <w:tc>
          <w:tcPr>
            <w:tcW w:w="3655" w:type="dxa"/>
            <w:tcBorders>
              <w:top w:val="single" w:color="auto" w:sz="4" w:space="0"/>
              <w:left w:val="nil"/>
              <w:bottom w:val="single" w:color="auto" w:sz="4" w:space="0"/>
              <w:right w:val="single" w:color="auto" w:sz="4" w:space="0"/>
            </w:tcBorders>
            <w:vAlign w:val="center"/>
          </w:tcPr>
          <w:p w14:paraId="5A8E1AE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约克牌制冷剂</w:t>
            </w:r>
          </w:p>
        </w:tc>
        <w:tc>
          <w:tcPr>
            <w:tcW w:w="999" w:type="dxa"/>
            <w:tcBorders>
              <w:top w:val="single" w:color="auto" w:sz="4" w:space="0"/>
              <w:left w:val="nil"/>
              <w:bottom w:val="single" w:color="auto" w:sz="4" w:space="0"/>
              <w:right w:val="single" w:color="auto" w:sz="4" w:space="0"/>
            </w:tcBorders>
            <w:vAlign w:val="center"/>
          </w:tcPr>
          <w:p w14:paraId="5A29F96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6瓶</w:t>
            </w:r>
          </w:p>
        </w:tc>
        <w:tc>
          <w:tcPr>
            <w:tcW w:w="3298" w:type="dxa"/>
            <w:tcBorders>
              <w:top w:val="single" w:color="auto" w:sz="4" w:space="0"/>
              <w:left w:val="nil"/>
              <w:bottom w:val="single" w:color="auto" w:sz="4" w:space="0"/>
              <w:right w:val="single" w:color="auto" w:sz="4" w:space="0"/>
            </w:tcBorders>
            <w:vAlign w:val="center"/>
          </w:tcPr>
          <w:p w14:paraId="0CD86713">
            <w:pPr>
              <w:spacing w:line="400" w:lineRule="exact"/>
              <w:ind w:right="128" w:rightChars="61"/>
              <w:jc w:val="center"/>
              <w:rPr>
                <w:rFonts w:asciiTheme="minorEastAsia" w:hAnsiTheme="minorEastAsia" w:eastAsiaTheme="minorEastAsia"/>
                <w:szCs w:val="21"/>
              </w:rPr>
            </w:pPr>
          </w:p>
        </w:tc>
      </w:tr>
      <w:tr w14:paraId="65EEDCF4">
        <w:tblPrEx>
          <w:tblCellMar>
            <w:top w:w="0" w:type="dxa"/>
            <w:left w:w="108" w:type="dxa"/>
            <w:bottom w:w="0" w:type="dxa"/>
            <w:right w:w="108" w:type="dxa"/>
          </w:tblCellMar>
        </w:tblPrEx>
        <w:trPr>
          <w:trHeight w:val="1057" w:hRule="atLeast"/>
        </w:trPr>
        <w:tc>
          <w:tcPr>
            <w:tcW w:w="460" w:type="dxa"/>
            <w:vMerge w:val="continue"/>
            <w:tcBorders>
              <w:left w:val="single" w:color="auto" w:sz="4" w:space="0"/>
              <w:right w:val="single" w:color="auto" w:sz="4" w:space="0"/>
            </w:tcBorders>
            <w:noWrap/>
            <w:vAlign w:val="center"/>
          </w:tcPr>
          <w:p w14:paraId="419B8DD0">
            <w:pPr>
              <w:widowControl/>
              <w:jc w:val="center"/>
              <w:rPr>
                <w:rFonts w:cs="宋体" w:asciiTheme="minorEastAsia" w:hAnsiTheme="minorEastAsia" w:eastAsiaTheme="minorEastAsia"/>
                <w:kern w:val="0"/>
                <w:szCs w:val="21"/>
              </w:rPr>
            </w:pPr>
          </w:p>
        </w:tc>
        <w:tc>
          <w:tcPr>
            <w:tcW w:w="890" w:type="dxa"/>
            <w:vMerge w:val="continue"/>
            <w:tcBorders>
              <w:left w:val="nil"/>
              <w:right w:val="single" w:color="auto" w:sz="4" w:space="0"/>
            </w:tcBorders>
            <w:vAlign w:val="center"/>
          </w:tcPr>
          <w:p w14:paraId="457B1A9B">
            <w:pPr>
              <w:spacing w:line="400" w:lineRule="exact"/>
              <w:jc w:val="center"/>
              <w:rPr>
                <w:rFonts w:asciiTheme="minorEastAsia" w:hAnsiTheme="minorEastAsia" w:eastAsiaTheme="minorEastAsia"/>
                <w:szCs w:val="21"/>
              </w:rPr>
            </w:pPr>
          </w:p>
        </w:tc>
        <w:tc>
          <w:tcPr>
            <w:tcW w:w="3655" w:type="dxa"/>
            <w:tcBorders>
              <w:top w:val="single" w:color="auto" w:sz="4" w:space="0"/>
              <w:left w:val="nil"/>
              <w:bottom w:val="single" w:color="auto" w:sz="4" w:space="0"/>
              <w:right w:val="single" w:color="auto" w:sz="4" w:space="0"/>
            </w:tcBorders>
            <w:vAlign w:val="center"/>
          </w:tcPr>
          <w:p w14:paraId="72329A8E">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约克“V型”冷冻油</w:t>
            </w:r>
          </w:p>
        </w:tc>
        <w:tc>
          <w:tcPr>
            <w:tcW w:w="999" w:type="dxa"/>
            <w:tcBorders>
              <w:top w:val="single" w:color="auto" w:sz="4" w:space="0"/>
              <w:left w:val="nil"/>
              <w:bottom w:val="single" w:color="auto" w:sz="4" w:space="0"/>
              <w:right w:val="single" w:color="auto" w:sz="4" w:space="0"/>
            </w:tcBorders>
            <w:vAlign w:val="center"/>
          </w:tcPr>
          <w:p w14:paraId="53F3D2F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5桶</w:t>
            </w:r>
          </w:p>
        </w:tc>
        <w:tc>
          <w:tcPr>
            <w:tcW w:w="3298" w:type="dxa"/>
            <w:tcBorders>
              <w:top w:val="single" w:color="auto" w:sz="4" w:space="0"/>
              <w:left w:val="nil"/>
              <w:bottom w:val="single" w:color="auto" w:sz="4" w:space="0"/>
              <w:right w:val="single" w:color="auto" w:sz="4" w:space="0"/>
            </w:tcBorders>
            <w:vAlign w:val="center"/>
          </w:tcPr>
          <w:p w14:paraId="3DE2C85E">
            <w:pPr>
              <w:spacing w:line="400" w:lineRule="exact"/>
              <w:ind w:right="128" w:rightChars="61"/>
              <w:jc w:val="center"/>
              <w:rPr>
                <w:rFonts w:asciiTheme="minorEastAsia" w:hAnsiTheme="minorEastAsia" w:eastAsiaTheme="minorEastAsia"/>
                <w:szCs w:val="21"/>
              </w:rPr>
            </w:pPr>
          </w:p>
        </w:tc>
      </w:tr>
      <w:tr w14:paraId="59D66631">
        <w:tblPrEx>
          <w:tblCellMar>
            <w:top w:w="0" w:type="dxa"/>
            <w:left w:w="108" w:type="dxa"/>
            <w:bottom w:w="0" w:type="dxa"/>
            <w:right w:w="108" w:type="dxa"/>
          </w:tblCellMar>
        </w:tblPrEx>
        <w:trPr>
          <w:trHeight w:val="814" w:hRule="atLeast"/>
        </w:trPr>
        <w:tc>
          <w:tcPr>
            <w:tcW w:w="460" w:type="dxa"/>
            <w:tcBorders>
              <w:left w:val="single" w:color="auto" w:sz="4" w:space="0"/>
              <w:bottom w:val="single" w:color="auto" w:sz="4" w:space="0"/>
              <w:right w:val="single" w:color="auto" w:sz="4" w:space="0"/>
            </w:tcBorders>
            <w:noWrap/>
            <w:vAlign w:val="center"/>
          </w:tcPr>
          <w:p w14:paraId="22E61125">
            <w:pPr>
              <w:widowControl/>
              <w:jc w:val="center"/>
              <w:rPr>
                <w:rFonts w:cs="宋体" w:asciiTheme="minorEastAsia" w:hAnsiTheme="minorEastAsia" w:eastAsiaTheme="minorEastAsia"/>
                <w:kern w:val="0"/>
                <w:szCs w:val="21"/>
              </w:rPr>
            </w:pPr>
          </w:p>
        </w:tc>
        <w:tc>
          <w:tcPr>
            <w:tcW w:w="890" w:type="dxa"/>
            <w:tcBorders>
              <w:left w:val="nil"/>
              <w:bottom w:val="single" w:color="auto" w:sz="4" w:space="0"/>
              <w:right w:val="single" w:color="auto" w:sz="4" w:space="0"/>
            </w:tcBorders>
            <w:vAlign w:val="center"/>
          </w:tcPr>
          <w:p w14:paraId="4AD58AEB">
            <w:pPr>
              <w:spacing w:line="400" w:lineRule="exact"/>
              <w:jc w:val="center"/>
              <w:rPr>
                <w:rFonts w:asciiTheme="minorEastAsia" w:hAnsiTheme="minorEastAsia" w:eastAsiaTheme="minorEastAsia"/>
                <w:szCs w:val="21"/>
              </w:rPr>
            </w:pPr>
          </w:p>
        </w:tc>
        <w:tc>
          <w:tcPr>
            <w:tcW w:w="3655" w:type="dxa"/>
            <w:tcBorders>
              <w:top w:val="single" w:color="auto" w:sz="4" w:space="0"/>
              <w:left w:val="nil"/>
              <w:bottom w:val="single" w:color="auto" w:sz="4" w:space="0"/>
              <w:right w:val="single" w:color="auto" w:sz="4" w:space="0"/>
            </w:tcBorders>
            <w:vAlign w:val="center"/>
          </w:tcPr>
          <w:p w14:paraId="0506C52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约克YK油冷却膨胀阀</w:t>
            </w:r>
          </w:p>
        </w:tc>
        <w:tc>
          <w:tcPr>
            <w:tcW w:w="999" w:type="dxa"/>
            <w:tcBorders>
              <w:top w:val="single" w:color="auto" w:sz="4" w:space="0"/>
              <w:left w:val="nil"/>
              <w:bottom w:val="single" w:color="auto" w:sz="4" w:space="0"/>
              <w:right w:val="single" w:color="auto" w:sz="4" w:space="0"/>
            </w:tcBorders>
            <w:vAlign w:val="center"/>
          </w:tcPr>
          <w:p w14:paraId="2444022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1个</w:t>
            </w:r>
          </w:p>
        </w:tc>
        <w:tc>
          <w:tcPr>
            <w:tcW w:w="3298" w:type="dxa"/>
            <w:tcBorders>
              <w:top w:val="single" w:color="auto" w:sz="4" w:space="0"/>
              <w:left w:val="nil"/>
              <w:bottom w:val="single" w:color="auto" w:sz="4" w:space="0"/>
              <w:right w:val="single" w:color="auto" w:sz="4" w:space="0"/>
            </w:tcBorders>
            <w:vAlign w:val="center"/>
          </w:tcPr>
          <w:p w14:paraId="1215BACC">
            <w:pPr>
              <w:spacing w:line="400" w:lineRule="exact"/>
              <w:ind w:right="128" w:rightChars="61"/>
              <w:jc w:val="center"/>
              <w:rPr>
                <w:rFonts w:asciiTheme="minorEastAsia" w:hAnsiTheme="minorEastAsia" w:eastAsiaTheme="minorEastAsia"/>
                <w:szCs w:val="21"/>
              </w:rPr>
            </w:pPr>
          </w:p>
        </w:tc>
      </w:tr>
    </w:tbl>
    <w:p w14:paraId="5E67C874">
      <w:pPr>
        <w:snapToGrid w:val="0"/>
        <w:spacing w:line="360" w:lineRule="auto"/>
        <w:ind w:firstLine="566" w:firstLineChars="236"/>
        <w:jc w:val="left"/>
        <w:rPr>
          <w:rFonts w:hint="eastAsia" w:asciiTheme="minorEastAsia" w:hAnsiTheme="minorEastAsia" w:eastAsiaTheme="minorEastAsia"/>
          <w:bCs/>
          <w:sz w:val="24"/>
        </w:rPr>
      </w:pPr>
      <w:r>
        <w:rPr>
          <w:rFonts w:hint="eastAsia" w:asciiTheme="minorEastAsia" w:hAnsiTheme="minorEastAsia" w:eastAsiaTheme="minorEastAsia"/>
          <w:bCs/>
          <w:sz w:val="24"/>
        </w:rPr>
        <w:t>注：维修维护保养配件耗材（冷冻油、油过滤器、干燥过滤器、制冷剂等）零件更换及药量投入使用前需甲方验收并签名确认。</w:t>
      </w:r>
    </w:p>
    <w:p w14:paraId="317CB690">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1、本项目为采购人空调维保服务采购项目，要求报价人所提供的服务必须符合国家相关标准、规范要求，各项指标符合采购文件要求。</w:t>
      </w:r>
    </w:p>
    <w:p w14:paraId="15FA1E5D">
      <w:pPr>
        <w:snapToGrid w:val="0"/>
        <w:spacing w:line="360" w:lineRule="auto"/>
        <w:ind w:firstLine="566" w:firstLineChars="236"/>
        <w:jc w:val="left"/>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2、报价人报价应包括人工成本（包括但不限于五险、高温费、加班费、节假日加班费、奖金和各种津贴、补贴、保险以及工作服装费、各项岗位培训费及行政管理费）、耗材费用、清洁剂费用、税收等履行本项目的权利和义务所涉及的一切费用。还要考虑到合同中可能出现的索赔和变更。</w:t>
      </w:r>
    </w:p>
    <w:p w14:paraId="35C60C0A">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3．报价人的维护人员必须具备相应资质（包含但不仅限于：电工证、制冷设备维修证等），并提供相应人员证件复印件（原件留存备查）。</w:t>
      </w:r>
    </w:p>
    <w:p w14:paraId="72B9ECAC">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三、维保服务要求</w:t>
      </w:r>
    </w:p>
    <w:p w14:paraId="315252A2">
      <w:pPr>
        <w:snapToGrid w:val="0"/>
        <w:spacing w:line="360" w:lineRule="auto"/>
        <w:ind w:firstLine="566" w:firstLineChars="236"/>
        <w:jc w:val="left"/>
        <w:rPr>
          <w:rFonts w:asciiTheme="minorEastAsia" w:hAnsiTheme="minorEastAsia" w:eastAsiaTheme="minorEastAsia"/>
          <w:bCs/>
          <w:color w:val="FF0000"/>
          <w:sz w:val="24"/>
        </w:rPr>
      </w:pPr>
      <w:r>
        <w:rPr>
          <w:rFonts w:hint="eastAsia" w:asciiTheme="minorEastAsia" w:hAnsiTheme="minorEastAsia" w:eastAsiaTheme="minorEastAsia"/>
          <w:bCs/>
          <w:color w:val="FF0000"/>
          <w:sz w:val="24"/>
        </w:rPr>
        <w:t>1.服务年限：</w:t>
      </w:r>
      <w:r>
        <w:rPr>
          <w:rFonts w:hint="eastAsia" w:asciiTheme="minorEastAsia" w:hAnsiTheme="minorEastAsia" w:eastAsiaTheme="minorEastAsia"/>
          <w:bCs/>
          <w:color w:val="FF0000"/>
          <w:sz w:val="24"/>
          <w:u w:val="single"/>
        </w:rPr>
        <w:t xml:space="preserve"> 2  </w:t>
      </w:r>
      <w:r>
        <w:rPr>
          <w:rFonts w:hint="eastAsia" w:asciiTheme="minorEastAsia" w:hAnsiTheme="minorEastAsia" w:eastAsiaTheme="minorEastAsia"/>
          <w:bCs/>
          <w:color w:val="FF0000"/>
          <w:sz w:val="24"/>
        </w:rPr>
        <w:t>年[合同一年一签（年度合同签约金额为成交价的一半），中标人若未按招标要求履行服务则不再续签下一年度合同（若不再续签，需服务至下次中标单位确定时），若合同期满院方新一轮招投标尚未完成，则合同有效期延长至新的中标单位交接之日止]</w:t>
      </w:r>
    </w:p>
    <w:p w14:paraId="6E901982">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2.维保服务方式：</w:t>
      </w:r>
    </w:p>
    <w:p w14:paraId="117701DE">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2.1协议履行期间内乙方（制冷季：每月2次；停机期：每月1次）派员对甲方的空调设备及空调系统进行巡检、维护保养，并提交每次相应的工作报告。</w:t>
      </w:r>
    </w:p>
    <w:p w14:paraId="59ED592C">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2.2乙方每年对机组开机/停机各进行一次全面检查保养，同时提交年度保养报告。</w:t>
      </w:r>
    </w:p>
    <w:p w14:paraId="45566851">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2.3乙方应该定期对甲方的操作人员进行相关的操作培训。</w:t>
      </w:r>
    </w:p>
    <w:p w14:paraId="68040EB8">
      <w:pPr>
        <w:snapToGrid w:val="0"/>
        <w:spacing w:line="360" w:lineRule="auto"/>
        <w:ind w:firstLine="566" w:firstLineChars="236"/>
        <w:jc w:val="left"/>
        <w:rPr>
          <w:rFonts w:hint="eastAsia" w:asciiTheme="minorEastAsia" w:hAnsiTheme="minorEastAsia" w:eastAsiaTheme="minorEastAsia"/>
          <w:bCs/>
          <w:sz w:val="24"/>
        </w:rPr>
      </w:pPr>
      <w:r>
        <w:rPr>
          <w:rFonts w:hint="eastAsia" w:asciiTheme="minorEastAsia" w:hAnsiTheme="minorEastAsia" w:eastAsiaTheme="minorEastAsia"/>
          <w:bCs/>
          <w:sz w:val="24"/>
        </w:rPr>
        <w:t>2.4应急服务：[提供24小时应急维修热线：]保养协议期内，甲方机组运行出现故障时，乙方在接到甲方报修通知后2小时内到达现场（因交通原因延误除外），并在到达现场后2小时内准确判断故障原因，4小时内拟定解决方案，在故障发生后24小时内恢复正常运行（设备零部件损坏，需加工或待更换除外）。</w:t>
      </w:r>
    </w:p>
    <w:p w14:paraId="503057F3">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3 .技术要求</w:t>
      </w:r>
    </w:p>
    <w:p w14:paraId="53DAC54E">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3.1双方合同签订后的一个月内，乙方需对甲方院内所有保养设备进行一次全面性的系统巡检并提交检查报告。报价人需在该时段内建立甲方院内所有保养设备的运行维护档案，档案至少需包含以下内容：设备清单、分布地址、运行状态、保养建议、维修记录。</w:t>
      </w:r>
    </w:p>
    <w:p w14:paraId="320EEDF7">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 xml:space="preserve">3.2乙方免费为机房操作人员进行必要的专业技能培训，使机电人员具备日常操作保养技能。 </w:t>
      </w:r>
    </w:p>
    <w:p w14:paraId="3DBBBDEF">
      <w:pPr>
        <w:snapToGrid w:val="0"/>
        <w:spacing w:line="360" w:lineRule="auto"/>
        <w:ind w:firstLine="566" w:firstLineChars="236"/>
        <w:jc w:val="left"/>
        <w:rPr>
          <w:rFonts w:hint="eastAsia" w:asciiTheme="minorEastAsia" w:hAnsiTheme="minorEastAsia" w:eastAsiaTheme="minorEastAsia"/>
          <w:bCs/>
          <w:sz w:val="24"/>
        </w:rPr>
      </w:pPr>
      <w:r>
        <w:rPr>
          <w:rFonts w:hint="eastAsia" w:asciiTheme="minorEastAsia" w:hAnsiTheme="minorEastAsia" w:eastAsiaTheme="minorEastAsia"/>
          <w:bCs/>
          <w:sz w:val="24"/>
        </w:rPr>
        <w:t>3.3.维保具体工作内容参照招标要求。</w:t>
      </w:r>
    </w:p>
    <w:p w14:paraId="125AD67F">
      <w:pPr>
        <w:snapToGrid w:val="0"/>
        <w:spacing w:line="360" w:lineRule="auto"/>
        <w:ind w:firstLine="566" w:firstLineChars="236"/>
        <w:jc w:val="left"/>
        <w:rPr>
          <w:rFonts w:hint="eastAsia" w:asciiTheme="minorEastAsia" w:hAnsiTheme="minorEastAsia" w:eastAsiaTheme="minorEastAsia"/>
          <w:bCs/>
          <w:color w:val="FF0000"/>
          <w:sz w:val="24"/>
          <w:highlight w:val="none"/>
        </w:rPr>
      </w:pPr>
      <w:r>
        <w:rPr>
          <w:rFonts w:hint="eastAsia" w:asciiTheme="minorEastAsia" w:hAnsiTheme="minorEastAsia" w:eastAsiaTheme="minorEastAsia"/>
          <w:bCs/>
          <w:color w:val="FF0000"/>
          <w:sz w:val="24"/>
          <w:highlight w:val="none"/>
        </w:rPr>
        <w:t>3.4维保后需进行水质检测，军团菌、pH值等水质检测指标需达到国家标准。</w:t>
      </w:r>
    </w:p>
    <w:p w14:paraId="50B042FF">
      <w:pPr>
        <w:snapToGrid w:val="0"/>
        <w:spacing w:line="360" w:lineRule="auto"/>
        <w:ind w:firstLine="566" w:firstLineChars="236"/>
        <w:jc w:val="left"/>
        <w:rPr>
          <w:rFonts w:hint="eastAsia" w:asciiTheme="minorEastAsia" w:hAnsiTheme="minorEastAsia" w:eastAsiaTheme="minorEastAsia"/>
          <w:bCs/>
          <w:color w:val="FF0000"/>
          <w:sz w:val="24"/>
          <w:highlight w:val="none"/>
        </w:rPr>
      </w:pPr>
      <w:r>
        <w:rPr>
          <w:rFonts w:hint="eastAsia" w:asciiTheme="minorEastAsia" w:hAnsiTheme="minorEastAsia" w:eastAsiaTheme="minorEastAsia"/>
          <w:bCs/>
          <w:color w:val="FF0000"/>
          <w:sz w:val="24"/>
          <w:highlight w:val="none"/>
        </w:rPr>
        <w:t xml:space="preserve">4 </w:t>
      </w:r>
      <w:r>
        <w:rPr>
          <w:rFonts w:hint="eastAsia" w:asciiTheme="minorEastAsia" w:hAnsiTheme="minorEastAsia" w:eastAsiaTheme="minorEastAsia"/>
          <w:bCs/>
          <w:color w:val="FF0000"/>
          <w:sz w:val="24"/>
          <w:highlight w:val="none"/>
          <w:lang w:eastAsia="zh-CN"/>
        </w:rPr>
        <w:t>、</w:t>
      </w:r>
      <w:r>
        <w:rPr>
          <w:rFonts w:hint="eastAsia" w:asciiTheme="minorEastAsia" w:hAnsiTheme="minorEastAsia" w:eastAsiaTheme="minorEastAsia"/>
          <w:bCs/>
          <w:color w:val="FF0000"/>
          <w:sz w:val="24"/>
          <w:highlight w:val="none"/>
          <w:lang w:val="en-US" w:eastAsia="zh-CN"/>
        </w:rPr>
        <w:t>服务</w:t>
      </w:r>
      <w:r>
        <w:rPr>
          <w:rFonts w:hint="eastAsia" w:asciiTheme="minorEastAsia" w:hAnsiTheme="minorEastAsia" w:eastAsiaTheme="minorEastAsia"/>
          <w:bCs/>
          <w:color w:val="FF0000"/>
          <w:sz w:val="24"/>
          <w:highlight w:val="none"/>
        </w:rPr>
        <w:t>要求</w:t>
      </w:r>
    </w:p>
    <w:p w14:paraId="6DA27809">
      <w:pPr>
        <w:snapToGrid w:val="0"/>
        <w:spacing w:line="360" w:lineRule="auto"/>
        <w:ind w:firstLine="566" w:firstLineChars="236"/>
        <w:jc w:val="left"/>
        <w:rPr>
          <w:rFonts w:hint="eastAsia" w:asciiTheme="minorEastAsia" w:hAnsiTheme="minorEastAsia" w:eastAsiaTheme="minorEastAsia"/>
          <w:bCs/>
          <w:color w:val="FF0000"/>
          <w:sz w:val="24"/>
          <w:highlight w:val="none"/>
        </w:rPr>
      </w:pPr>
      <w:r>
        <w:rPr>
          <w:rFonts w:hint="eastAsia" w:asciiTheme="minorEastAsia" w:hAnsiTheme="minorEastAsia" w:eastAsiaTheme="minorEastAsia"/>
          <w:bCs/>
          <w:color w:val="FF0000"/>
          <w:sz w:val="24"/>
          <w:highlight w:val="none"/>
        </w:rPr>
        <w:t>4.</w:t>
      </w:r>
      <w:r>
        <w:rPr>
          <w:rFonts w:hint="eastAsia" w:asciiTheme="minorEastAsia" w:hAnsiTheme="minorEastAsia" w:eastAsiaTheme="minorEastAsia"/>
          <w:bCs/>
          <w:color w:val="FF0000"/>
          <w:sz w:val="24"/>
          <w:highlight w:val="none"/>
          <w:lang w:val="en-US" w:eastAsia="zh-CN"/>
        </w:rPr>
        <w:t>1</w:t>
      </w:r>
      <w:r>
        <w:rPr>
          <w:rFonts w:hint="eastAsia" w:asciiTheme="minorEastAsia" w:hAnsiTheme="minorEastAsia" w:eastAsiaTheme="minorEastAsia"/>
          <w:bCs/>
          <w:color w:val="FF0000"/>
          <w:sz w:val="24"/>
          <w:highlight w:val="none"/>
        </w:rPr>
        <w:t>单次金额少于300元以下配件，由中标方免费提供,免费配件总额不超过4000元。</w:t>
      </w:r>
    </w:p>
    <w:p w14:paraId="6BDFD8FB">
      <w:pPr>
        <w:snapToGrid w:val="0"/>
        <w:spacing w:line="360" w:lineRule="auto"/>
        <w:ind w:firstLine="566" w:firstLineChars="236"/>
        <w:jc w:val="left"/>
        <w:rPr>
          <w:rFonts w:hint="eastAsia" w:asciiTheme="minorEastAsia" w:hAnsiTheme="minorEastAsia" w:eastAsiaTheme="minorEastAsia"/>
          <w:bCs/>
          <w:color w:val="FF0000"/>
          <w:sz w:val="24"/>
          <w:highlight w:val="none"/>
        </w:rPr>
      </w:pPr>
      <w:r>
        <w:rPr>
          <w:rFonts w:hint="eastAsia" w:asciiTheme="minorEastAsia" w:hAnsiTheme="minorEastAsia" w:eastAsiaTheme="minorEastAsia"/>
          <w:bCs/>
          <w:color w:val="FF0000"/>
          <w:sz w:val="24"/>
          <w:highlight w:val="none"/>
        </w:rPr>
        <w:t>4.</w:t>
      </w:r>
      <w:r>
        <w:rPr>
          <w:rFonts w:hint="eastAsia" w:asciiTheme="minorEastAsia" w:hAnsiTheme="minorEastAsia" w:eastAsiaTheme="minorEastAsia"/>
          <w:bCs/>
          <w:color w:val="FF0000"/>
          <w:sz w:val="24"/>
          <w:highlight w:val="none"/>
          <w:lang w:val="en-US" w:eastAsia="zh-CN"/>
        </w:rPr>
        <w:t>2</w:t>
      </w:r>
      <w:r>
        <w:rPr>
          <w:rFonts w:hint="eastAsia" w:asciiTheme="minorEastAsia" w:hAnsiTheme="minorEastAsia" w:eastAsiaTheme="minorEastAsia"/>
          <w:bCs/>
          <w:color w:val="FF0000"/>
          <w:sz w:val="24"/>
          <w:highlight w:val="none"/>
        </w:rPr>
        <w:t xml:space="preserve"> 本协议除4.</w:t>
      </w:r>
      <w:r>
        <w:rPr>
          <w:rFonts w:hint="eastAsia" w:asciiTheme="minorEastAsia" w:hAnsiTheme="minorEastAsia" w:eastAsiaTheme="minorEastAsia"/>
          <w:bCs/>
          <w:color w:val="FF0000"/>
          <w:sz w:val="24"/>
          <w:highlight w:val="none"/>
          <w:lang w:val="en-US" w:eastAsia="zh-CN"/>
        </w:rPr>
        <w:t>1</w:t>
      </w:r>
      <w:r>
        <w:rPr>
          <w:rFonts w:hint="eastAsia" w:asciiTheme="minorEastAsia" w:hAnsiTheme="minorEastAsia" w:eastAsiaTheme="minorEastAsia"/>
          <w:bCs/>
          <w:color w:val="FF0000"/>
          <w:sz w:val="24"/>
          <w:highlight w:val="none"/>
        </w:rPr>
        <w:t>要求外，维修物料由招标方另行采购。</w:t>
      </w:r>
    </w:p>
    <w:p w14:paraId="6C8026B0">
      <w:pPr>
        <w:snapToGrid w:val="0"/>
        <w:spacing w:line="360" w:lineRule="auto"/>
        <w:ind w:firstLine="566" w:firstLineChars="236"/>
        <w:jc w:val="left"/>
        <w:rPr>
          <w:rFonts w:hint="eastAsia" w:asciiTheme="minorEastAsia" w:hAnsiTheme="minorEastAsia" w:eastAsiaTheme="minorEastAsia"/>
          <w:bCs/>
          <w:color w:val="FF0000"/>
          <w:sz w:val="24"/>
          <w:highlight w:val="none"/>
        </w:rPr>
      </w:pPr>
      <w:r>
        <w:rPr>
          <w:rFonts w:hint="eastAsia" w:asciiTheme="minorEastAsia" w:hAnsiTheme="minorEastAsia" w:eastAsiaTheme="minorEastAsia"/>
          <w:bCs/>
          <w:color w:val="FF0000"/>
          <w:sz w:val="24"/>
          <w:highlight w:val="none"/>
        </w:rPr>
        <w:t>4.</w:t>
      </w:r>
      <w:r>
        <w:rPr>
          <w:rFonts w:hint="eastAsia" w:asciiTheme="minorEastAsia" w:hAnsiTheme="minorEastAsia" w:eastAsiaTheme="minorEastAsia"/>
          <w:bCs/>
          <w:color w:val="FF0000"/>
          <w:sz w:val="24"/>
          <w:highlight w:val="none"/>
          <w:lang w:val="en-US" w:eastAsia="zh-CN"/>
        </w:rPr>
        <w:t>3</w:t>
      </w:r>
      <w:r>
        <w:rPr>
          <w:rFonts w:hint="eastAsia" w:asciiTheme="minorEastAsia" w:hAnsiTheme="minorEastAsia" w:eastAsiaTheme="minorEastAsia"/>
          <w:bCs/>
          <w:color w:val="FF0000"/>
          <w:sz w:val="24"/>
          <w:highlight w:val="none"/>
        </w:rPr>
        <w:t>付款方式：按季度支付，于每季度结束后十日支付上一期费用。（以合同签订为准。）</w:t>
      </w:r>
    </w:p>
    <w:p w14:paraId="390AC317">
      <w:pPr>
        <w:snapToGrid w:val="0"/>
        <w:spacing w:line="360" w:lineRule="auto"/>
        <w:ind w:firstLine="566" w:firstLineChars="236"/>
        <w:jc w:val="left"/>
        <w:rPr>
          <w:rFonts w:hint="eastAsia" w:asciiTheme="minorEastAsia" w:hAnsiTheme="minorEastAsia" w:eastAsiaTheme="minorEastAsia"/>
          <w:bCs/>
          <w:color w:val="FF0000"/>
          <w:sz w:val="24"/>
          <w:highlight w:val="none"/>
          <w:lang w:val="en-US" w:eastAsia="zh-CN"/>
        </w:rPr>
      </w:pPr>
      <w:r>
        <w:rPr>
          <w:rFonts w:hint="eastAsia" w:asciiTheme="minorEastAsia" w:hAnsiTheme="minorEastAsia" w:eastAsiaTheme="minorEastAsia"/>
          <w:bCs/>
          <w:color w:val="FF0000"/>
          <w:sz w:val="24"/>
          <w:highlight w:val="none"/>
          <w:lang w:val="en-US" w:eastAsia="zh-CN"/>
        </w:rPr>
        <w:t xml:space="preserve"> 4.4服务期间若需操作中央空调设备主机的控制柜，操作人员（2人）需具有高压电工作业特种作业操作证，无按规范操作因此发生安全事故等由中标方承担所有责任。</w:t>
      </w:r>
    </w:p>
    <w:p w14:paraId="744E8913">
      <w:pPr>
        <w:pStyle w:val="10"/>
        <w:widowControl/>
        <w:numPr>
          <w:ilvl w:val="0"/>
          <w:numId w:val="0"/>
        </w:numPr>
        <w:spacing w:before="75" w:beforeAutospacing="0" w:after="75" w:afterAutospacing="0"/>
        <w:ind w:firstLine="480" w:firstLineChars="200"/>
        <w:rPr>
          <w:rFonts w:hint="eastAsia" w:cs="Times New Roman" w:asciiTheme="minorEastAsia" w:hAnsiTheme="minorEastAsia" w:eastAsiaTheme="minorEastAsia"/>
          <w:bCs/>
          <w:color w:val="FF0000"/>
          <w:kern w:val="2"/>
          <w:sz w:val="24"/>
          <w:szCs w:val="24"/>
          <w:highlight w:val="none"/>
          <w:lang w:val="en-US" w:eastAsia="zh-CN" w:bidi="ar-SA"/>
        </w:rPr>
      </w:pPr>
      <w:r>
        <w:rPr>
          <w:rFonts w:hint="eastAsia" w:cs="Times New Roman" w:asciiTheme="minorEastAsia" w:hAnsiTheme="minorEastAsia" w:eastAsiaTheme="minorEastAsia"/>
          <w:bCs/>
          <w:color w:val="FF0000"/>
          <w:kern w:val="2"/>
          <w:sz w:val="24"/>
          <w:szCs w:val="24"/>
          <w:highlight w:val="none"/>
          <w:lang w:val="en-US" w:eastAsia="zh-CN" w:bidi="ar-SA"/>
        </w:rPr>
        <w:t>4.5本项目不包括压缩机、马达电机设备的大修和冷凝器和蒸发器内漏更换铜管等大修，投标人需提供“中央空调末端零星维修报价表”（格式详见第五章首次响应文件格式附件2-3），甲方如需乙方提供大修服务，中标人按“中央空调末端零星维修报价表”中的价格提供相关服务，并承诺其报价为市场最低价。</w:t>
      </w:r>
    </w:p>
    <w:p w14:paraId="4E955EFC">
      <w:pPr>
        <w:pStyle w:val="2"/>
        <w:ind w:firstLine="630" w:firstLineChars="300"/>
        <w:rPr>
          <w:rFonts w:hint="default"/>
          <w:lang w:val="en-US" w:eastAsia="zh-CN"/>
        </w:rPr>
      </w:pPr>
    </w:p>
    <w:bookmarkEnd w:id="1"/>
    <w:bookmarkEnd w:id="2"/>
    <w:bookmarkEnd w:id="3"/>
    <w:bookmarkEnd w:id="4"/>
    <w:p w14:paraId="05E755AF">
      <w:pPr>
        <w:snapToGrid w:val="0"/>
        <w:spacing w:line="360" w:lineRule="auto"/>
        <w:ind w:firstLine="360" w:firstLineChars="150"/>
        <w:jc w:val="left"/>
        <w:rPr>
          <w:rFonts w:asciiTheme="minorEastAsia" w:hAnsiTheme="minorEastAsia" w:eastAsiaTheme="minorEastAsia"/>
          <w:bCs/>
          <w:sz w:val="24"/>
        </w:rPr>
      </w:pPr>
      <w:r>
        <w:rPr>
          <w:rFonts w:hint="eastAsia" w:asciiTheme="minorEastAsia" w:hAnsiTheme="minorEastAsia" w:eastAsiaTheme="minorEastAsia"/>
          <w:bCs/>
          <w:sz w:val="24"/>
        </w:rPr>
        <w:t>四、维护保养技术附件</w:t>
      </w:r>
    </w:p>
    <w:p w14:paraId="5106AA09">
      <w:pPr>
        <w:snapToGrid w:val="0"/>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(一)中央空调冷水机组</w:t>
      </w:r>
    </w:p>
    <w:p w14:paraId="5480A510">
      <w:pPr>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A、运行期间启动前的准备和检查</w:t>
      </w:r>
    </w:p>
    <w:p w14:paraId="155B3E6E">
      <w:pPr>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供冷季节运行前须进行下列各项检查和准备，以确保机组可靠、安全和高效运行：</w:t>
      </w:r>
    </w:p>
    <w:p w14:paraId="3E787B53">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①检查制冷剂液位和油位，必要时进行补充至正常水平；</w:t>
      </w:r>
    </w:p>
    <w:p w14:paraId="1380D42E">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②检查油槽、油加热器和油温；</w:t>
      </w:r>
    </w:p>
    <w:p w14:paraId="27F52CAA">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③检查和测试所有运行控制和安全控制功能，并调整到正常状况；</w:t>
      </w:r>
    </w:p>
    <w:p w14:paraId="27EBA3E7">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④与操作人员一起温习操作步骤，查看机组历史记录，并提出合理建议；</w:t>
      </w:r>
    </w:p>
    <w:p w14:paraId="5CE43D2F">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⑤检查并确定马达启动柜正常工作性能；</w:t>
      </w:r>
    </w:p>
    <w:p w14:paraId="248228DF">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⑥检查水系统的运行情况（包括冷冻水泵、水流开关、冷却水泵、冷却塔、阀门等）；</w:t>
      </w:r>
    </w:p>
    <w:p w14:paraId="3B189911">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⑦检查调整微电脑控制中心的设定值；</w:t>
      </w:r>
    </w:p>
    <w:p w14:paraId="290CEAC8">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⑧启动冷水机组，检查整个系统的运行状况，记录机组运行参数；</w:t>
      </w:r>
    </w:p>
    <w:p w14:paraId="15B4B58E">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⑨根据运行记录，分析处理机组问题；</w:t>
      </w:r>
    </w:p>
    <w:p w14:paraId="6559DC4A">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⑩提供检修保养报告。</w:t>
      </w:r>
    </w:p>
    <w:p w14:paraId="05376197">
      <w:pPr>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B、运行期间检查</w:t>
      </w:r>
    </w:p>
    <w:p w14:paraId="58BBBC65">
      <w:pPr>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机组制冷运行期间，定期（运行期每月2次，停机期每月1次）进行下列各项检查，确保机组在整个供冷季节都运行高效，安全可靠：</w:t>
      </w:r>
    </w:p>
    <w:p w14:paraId="6056AED5">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①检查冷水机组运行工况，必要时调整安全控制装置以确保机组正常运行；</w:t>
      </w:r>
    </w:p>
    <w:p w14:paraId="091A20FA">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②检查控制装置的运行情况；</w:t>
      </w:r>
    </w:p>
    <w:p w14:paraId="3E834E8C">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③检查油位和制冷剂液位，必要时进行补充；</w:t>
      </w:r>
    </w:p>
    <w:p w14:paraId="06C42A18">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④检查润滑系统，必要时进行调整；</w:t>
      </w:r>
    </w:p>
    <w:p w14:paraId="3E7E6C32">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⑤检查回油系统，必要时进行调整；</w:t>
      </w:r>
    </w:p>
    <w:p w14:paraId="5694A288">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⑥检查电机和启动器的运行；</w:t>
      </w:r>
    </w:p>
    <w:p w14:paraId="452465D7">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⑦记录运行状态参数，分析确认机组运行正常，必要时进行机组检修；</w:t>
      </w:r>
    </w:p>
    <w:p w14:paraId="0474780E">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⑧记录和报告要求的备件，提供检查工作报告。</w:t>
      </w:r>
    </w:p>
    <w:p w14:paraId="47294DC1">
      <w:pPr>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C、一年一次的设备停机检查和预防性保养</w:t>
      </w:r>
    </w:p>
    <w:p w14:paraId="1BBF352B">
      <w:pPr>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停机期间，每年一次进行下列各项检查，以便能正确评价设备的状态，为下一个供冷季节的运行作好准备：</w:t>
      </w:r>
    </w:p>
    <w:p w14:paraId="04CE513B">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1.检查压缩机-电机组件的下列各项，完成预防性保养的各项任务：</w:t>
      </w:r>
    </w:p>
    <w:p w14:paraId="2B7135DA">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①记录电压；</w:t>
      </w:r>
    </w:p>
    <w:p w14:paraId="145C6E8D">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②用兆欧表测量和记录电机绕阻的绝缘电阻；</w:t>
      </w:r>
    </w:p>
    <w:p w14:paraId="7729372E">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③润滑开式电机；</w:t>
      </w:r>
    </w:p>
    <w:p w14:paraId="0C842208">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④检查确认开式电机驱动装置的定位；</w:t>
      </w:r>
    </w:p>
    <w:p w14:paraId="6568AA02">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⑤检查联轴器；</w:t>
      </w:r>
    </w:p>
    <w:p w14:paraId="7670D2CF">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⑥检查密封情况；</w:t>
      </w:r>
    </w:p>
    <w:p w14:paraId="0F1C3A0C">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⑦检查滑阀的运行情况，进行必要的调整；</w:t>
      </w:r>
    </w:p>
    <w:p w14:paraId="14D0BEFB">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⑧检查压缩机润滑油系统的下列各项；</w:t>
      </w:r>
    </w:p>
    <w:p w14:paraId="7F4FE700">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⑨根据需要更换润滑油、油过滤器和干燥过滤器；</w:t>
      </w:r>
    </w:p>
    <w:p w14:paraId="1B30F578">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⑩检查油加热器和恒温器；</w:t>
      </w:r>
    </w:p>
    <w:p w14:paraId="09B0FA47">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⑪进行油质检验；</w:t>
      </w:r>
    </w:p>
    <w:p w14:paraId="35CFB0E2">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⑫检查所有其它的润滑油系统部件，包括油冷却器、油过滤器和电磁阀等；</w:t>
      </w:r>
    </w:p>
    <w:p w14:paraId="78A2AC76">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⑬执行下列各项操作，检查电机启动器；</w:t>
      </w:r>
    </w:p>
    <w:p w14:paraId="5696BDFF">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⑭执行诊断检查程序；</w:t>
      </w:r>
    </w:p>
    <w:p w14:paraId="0D5EE74B">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⑮清洁接触器，必要时予以调整或更换；</w:t>
      </w:r>
    </w:p>
    <w:p w14:paraId="50AF7471">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⑯检查连接机构；</w:t>
      </w:r>
    </w:p>
    <w:p w14:paraId="764FB1AE">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⑰检查所有接线端，并拧紧；</w:t>
      </w:r>
    </w:p>
    <w:p w14:paraId="4B211B1F">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⑱检查过负荷装置，并取油样检查标定；</w:t>
      </w:r>
    </w:p>
    <w:p w14:paraId="248B58A8">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⑲清洁油过滤器，如有必要更换油过滤器；</w:t>
      </w:r>
    </w:p>
    <w:p w14:paraId="2B61733C">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⑳空载运行启动器（或在启动前）；</w:t>
      </w:r>
    </w:p>
    <w:p w14:paraId="2BD964A8">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㉑检查状态指示灯。</w:t>
      </w:r>
    </w:p>
    <w:p w14:paraId="1A12C174">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2.检查控制面板，确定下列各项：</w:t>
      </w:r>
    </w:p>
    <w:p w14:paraId="283F47BE">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①执行诊断检查程序；</w:t>
      </w:r>
    </w:p>
    <w:p w14:paraId="0E43C494">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②检查安全停机运行状态；</w:t>
      </w:r>
    </w:p>
    <w:p w14:paraId="5E7AEFF4">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③检查所有接线端，并拧紧；</w:t>
      </w:r>
    </w:p>
    <w:p w14:paraId="35555795">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④检查显示数据的精度和设定值。</w:t>
      </w:r>
    </w:p>
    <w:p w14:paraId="2F4647D8">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3.检查冷凝器、蒸发器的下列各项：</w:t>
      </w:r>
    </w:p>
    <w:p w14:paraId="450058E7">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①检查水流量；</w:t>
      </w:r>
    </w:p>
    <w:p w14:paraId="53EDCB3E">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②检查水流开关的控制情况；</w:t>
      </w:r>
    </w:p>
    <w:p w14:paraId="0D5ABF11">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③根据运行记录参数分析热交换效果，建议水质处理；</w:t>
      </w:r>
    </w:p>
    <w:p w14:paraId="5DA888EF">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④必要时拆卸端盖，更换密封垫。</w:t>
      </w:r>
    </w:p>
    <w:p w14:paraId="7FD29F3D">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4.检查系统的下列各项：</w:t>
      </w:r>
    </w:p>
    <w:p w14:paraId="115674D1">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①进行泄漏检查，找出泄漏处并进行修理；</w:t>
      </w:r>
    </w:p>
    <w:p w14:paraId="5265B276">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②按要求补充制冷剂；</w:t>
      </w:r>
    </w:p>
    <w:p w14:paraId="5341DA57">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③记录视液镜的状态；</w:t>
      </w:r>
    </w:p>
    <w:p w14:paraId="07DB5638">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④检查制冷循环，确认处于正常平衡状态。</w:t>
      </w:r>
    </w:p>
    <w:p w14:paraId="726FBE00">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5.其它：</w:t>
      </w:r>
    </w:p>
    <w:p w14:paraId="59F131BD">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①清洁工作环境；</w:t>
      </w:r>
    </w:p>
    <w:p w14:paraId="022321E8">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②记录损坏或失效备件情况；</w:t>
      </w:r>
    </w:p>
    <w:p w14:paraId="51D16DCC">
      <w:pPr>
        <w:tabs>
          <w:tab w:val="left" w:pos="425"/>
        </w:tabs>
        <w:snapToGrid w:val="0"/>
        <w:spacing w:line="360" w:lineRule="auto"/>
        <w:ind w:firstLine="566" w:firstLineChars="236"/>
        <w:jc w:val="left"/>
        <w:rPr>
          <w:rFonts w:ascii="宋体" w:hAnsi="宋体"/>
          <w:bCs/>
          <w:color w:val="auto"/>
          <w:sz w:val="24"/>
          <w:highlight w:val="none"/>
        </w:rPr>
      </w:pPr>
      <w:r>
        <w:rPr>
          <w:rFonts w:hint="eastAsia" w:ascii="宋体" w:hAnsi="宋体"/>
          <w:bCs/>
          <w:color w:val="auto"/>
          <w:sz w:val="24"/>
          <w:highlight w:val="none"/>
        </w:rPr>
        <w:t>③与操作人员沟通。</w:t>
      </w:r>
    </w:p>
    <w:p w14:paraId="4143F87E">
      <w:pPr>
        <w:snapToGrid w:val="0"/>
        <w:spacing w:line="360" w:lineRule="auto"/>
        <w:ind w:firstLine="480" w:firstLineChars="200"/>
        <w:jc w:val="left"/>
        <w:rPr>
          <w:rFonts w:asciiTheme="minorEastAsia" w:hAnsiTheme="minorEastAsia" w:eastAsiaTheme="minorEastAsia"/>
          <w:bCs/>
          <w:sz w:val="24"/>
        </w:rPr>
      </w:pPr>
      <w:r>
        <w:rPr>
          <w:rFonts w:hint="eastAsia" w:asciiTheme="minorEastAsia" w:hAnsiTheme="minorEastAsia" w:eastAsiaTheme="minorEastAsia"/>
          <w:bCs/>
          <w:sz w:val="24"/>
        </w:rPr>
        <w:t>中央空调系统水质处理</w:t>
      </w:r>
    </w:p>
    <w:p w14:paraId="25D16B6F">
      <w:pPr>
        <w:snapToGrid w:val="0"/>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（二）基本技术</w:t>
      </w:r>
    </w:p>
    <w:p w14:paraId="6820C285">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A、杀菌剥离</w:t>
      </w:r>
    </w:p>
    <w:p w14:paraId="1FFC04E7">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加入杀菌剥离剂，杀灭菌藻，将管道内的生物粘泥剥离脱落下来，从而通过循环将粘泥清洗出去。</w:t>
      </w:r>
    </w:p>
    <w:p w14:paraId="3DAE39E3">
      <w:pPr>
        <w:numPr>
          <w:ilvl w:val="0"/>
          <w:numId w:val="2"/>
        </w:numPr>
        <w:snapToGrid w:val="0"/>
        <w:spacing w:line="360" w:lineRule="auto"/>
        <w:ind w:firstLine="566" w:firstLineChars="236"/>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除垢</w:t>
      </w:r>
    </w:p>
    <w:p w14:paraId="262012F1">
      <w:pPr>
        <w:numPr>
          <w:ilvl w:val="0"/>
          <w:numId w:val="0"/>
        </w:numPr>
        <w:snapToGrid w:val="0"/>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目的是除去系统的油脂，锈蚀等杂质，为预膜和日常护理提供清洁的金属表面，并之处于活化状态，有利于金属保护膜的形成，清洗采用有机清洗剂，既能达到良好的清洗效果，又能避免一般无机清洗剂对金属产生的损伤。</w:t>
      </w:r>
    </w:p>
    <w:p w14:paraId="6C74E9AF">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C、预膜缓蚀</w:t>
      </w:r>
    </w:p>
    <w:p w14:paraId="1A381060">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在清晰后用较大药剂在活化的金属本体上形成一层完整而致密的保护膜，预膜形成后可大大降低设备的腐蚀率。</w:t>
      </w:r>
    </w:p>
    <w:p w14:paraId="57E70E8C">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D、日常处理</w:t>
      </w:r>
    </w:p>
    <w:p w14:paraId="0BA380F6">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在预膜处理的基础上，采用适当的低浓度的药剂配方，以维持和</w:t>
      </w:r>
    </w:p>
    <w:p w14:paraId="2A3CE5BE">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修补系统内金属表面所形成的保护膜，而且阻止和分散各种污垢</w:t>
      </w:r>
    </w:p>
    <w:p w14:paraId="7B3B9EC5">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离子的形成，达到防腐、防垢和控制微生物生长的目的。日常处</w:t>
      </w:r>
    </w:p>
    <w:p w14:paraId="65474261">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理的用药包括缓蚀剂、阻垢剂、杀菌剂。</w:t>
      </w:r>
    </w:p>
    <w:p w14:paraId="77331FBA">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E、 制冷季前视需要拆下冷凝器后端盖，用机械清洗机对冷凝器铜管进行清洗(或使用专业清洗除垢药剂清洗除垢处理)。</w:t>
      </w:r>
    </w:p>
    <w:p w14:paraId="73A4C59E">
      <w:pPr>
        <w:snapToGrid w:val="0"/>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（三）操作步骤</w:t>
      </w:r>
    </w:p>
    <w:p w14:paraId="23FC3FED">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冷却水和冷冻水系统操作程序相同，只是投药位置、投药时间及药品配方有所差异。</w:t>
      </w:r>
    </w:p>
    <w:p w14:paraId="1581C7A9">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A、进场工作步骤：</w:t>
      </w:r>
    </w:p>
    <w:p w14:paraId="4D2FAC0C">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人工清洗冷却塔，膨胀水箱，然后投加杀菌剂剥离，并开泵循环24小时左右，作全系统的杀菌灭藻处理后排污。</w:t>
      </w:r>
    </w:p>
    <w:p w14:paraId="5B699BE5">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加水至满，投加复合配方清洗剂，打开全系统水路，开泵循环24小时左右，排污、清洗Y 型过滤器。</w:t>
      </w:r>
    </w:p>
    <w:p w14:paraId="1A1E9B98">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补水、投加预膜药剂作预膜处理，加泵循环24小时至预膜形成。</w:t>
      </w:r>
    </w:p>
    <w:p w14:paraId="78569A96">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采用置换方式排除大部分预膜液，然后投加阻垢分散、缓蚀等复合配方药剂，正常开机转入日常护理阶段。</w:t>
      </w:r>
    </w:p>
    <w:p w14:paraId="3AE2C49E">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B、日常处理：</w:t>
      </w:r>
    </w:p>
    <w:p w14:paraId="576F6BCB">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分析测试：定期检查分析水样，以便水质达到限定的指标，定期提供水样化验报告。</w:t>
      </w:r>
    </w:p>
    <w:p w14:paraId="4C974E9B">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加药：改善水质，常规保养，乙方人员每个月对系统进行检测、投药。</w:t>
      </w:r>
    </w:p>
    <w:p w14:paraId="05398B1E">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按季度定期清洗冷却塔。</w:t>
      </w:r>
    </w:p>
    <w:p w14:paraId="0685FD43">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停机湿保：冬季停机后，投加停机湿保液浸泡，作停机湿保放锈处理。</w:t>
      </w:r>
    </w:p>
    <w:p w14:paraId="63710AA6">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C、空调主机运行期间冷凝器小温差需确保小于3度。</w:t>
      </w:r>
    </w:p>
    <w:p w14:paraId="4A92A5DC">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D、如出现机组冷却塔故障，乙方应及时协助完成对冷却塔的维修工作，以使设备尽快恢复正常使用。</w:t>
      </w:r>
    </w:p>
    <w:p w14:paraId="64DD3579">
      <w:pPr>
        <w:snapToGrid w:val="0"/>
        <w:spacing w:line="360" w:lineRule="auto"/>
        <w:ind w:firstLine="240" w:firstLineChars="100"/>
        <w:jc w:val="left"/>
        <w:rPr>
          <w:rFonts w:asciiTheme="minorEastAsia" w:hAnsiTheme="minorEastAsia" w:eastAsiaTheme="minorEastAsia"/>
          <w:bCs/>
          <w:sz w:val="24"/>
        </w:rPr>
      </w:pPr>
      <w:r>
        <w:rPr>
          <w:rFonts w:hint="eastAsia" w:asciiTheme="minorEastAsia" w:hAnsiTheme="minorEastAsia" w:eastAsiaTheme="minorEastAsia"/>
          <w:bCs/>
          <w:sz w:val="24"/>
        </w:rPr>
        <w:t>五、水质处理达到的指标</w:t>
      </w:r>
    </w:p>
    <w:p w14:paraId="2A1E4B9A">
      <w:pPr>
        <w:snapToGrid w:val="0"/>
        <w:spacing w:line="360" w:lineRule="auto"/>
        <w:ind w:firstLine="566" w:firstLineChars="236"/>
        <w:jc w:val="left"/>
        <w:rPr>
          <w:rFonts w:hint="eastAsia" w:asciiTheme="minorEastAsia" w:hAnsiTheme="minorEastAsia" w:eastAsiaTheme="minorEastAsia"/>
          <w:bCs/>
          <w:sz w:val="24"/>
        </w:rPr>
      </w:pPr>
      <w:r>
        <w:rPr>
          <w:rFonts w:hint="eastAsia" w:asciiTheme="minorEastAsia" w:hAnsiTheme="minorEastAsia" w:eastAsiaTheme="minorEastAsia"/>
          <w:bCs/>
          <w:sz w:val="24"/>
        </w:rPr>
        <w:t>水质处理达到的指标(需提供第三方水质检测报告，检测费用由中标人承担。一年不少于两次（每年开机前及关机时)，甲方有权随时抽查，如发现水质不合格有权追究中标方责，中标方并需承担甲方所有检测费用及向甲方支付2000元违约金，并直接从支付款项中扣除。)若水质处理不合格3次以上（含3次）甲方有权解除合同。</w:t>
      </w:r>
    </w:p>
    <w:p w14:paraId="0071E534">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项目        冷却水系统   冷冻水     单位</w:t>
      </w:r>
    </w:p>
    <w:p w14:paraId="1CBCF80A">
      <w:pPr>
        <w:snapToGrid w:val="0"/>
        <w:spacing w:line="360" w:lineRule="auto"/>
        <w:ind w:firstLine="480" w:firstLineChars="200"/>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PH          6.5—9       6.5—10    </w:t>
      </w:r>
    </w:p>
    <w:p w14:paraId="1653C5F2">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电导率       &lt;2500        &lt;2500       us/cm</w:t>
      </w:r>
    </w:p>
    <w:p w14:paraId="16410ECA">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总碱度       &lt;600         &lt;600        mg/L</w:t>
      </w:r>
    </w:p>
    <w:p w14:paraId="4D023AEC">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总硬度       &lt;600         &lt;600        mg/L</w:t>
      </w:r>
    </w:p>
    <w:p w14:paraId="7582F416">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氯离子       &lt; 350        &lt;300        mg/l</w:t>
      </w:r>
    </w:p>
    <w:p w14:paraId="0EA248F1">
      <w:pPr>
        <w:snapToGrid w:val="0"/>
        <w:spacing w:line="360" w:lineRule="auto"/>
        <w:ind w:firstLine="566" w:firstLineChars="236"/>
        <w:jc w:val="left"/>
        <w:rPr>
          <w:rFonts w:asciiTheme="minorEastAsia" w:hAnsiTheme="minorEastAsia" w:eastAsiaTheme="minorEastAsia"/>
          <w:bCs/>
          <w:sz w:val="24"/>
        </w:rPr>
      </w:pPr>
      <w:r>
        <w:rPr>
          <w:rFonts w:hint="eastAsia" w:asciiTheme="minorEastAsia" w:hAnsiTheme="minorEastAsia" w:eastAsiaTheme="minorEastAsia"/>
          <w:bCs/>
          <w:sz w:val="24"/>
        </w:rPr>
        <w:t>铁离子       &lt; 1.0        &lt; 1.0       mg/l</w:t>
      </w:r>
    </w:p>
    <w:p w14:paraId="6D40B2F4">
      <w:pPr>
        <w:snapToGrid w:val="0"/>
        <w:spacing w:line="360" w:lineRule="auto"/>
        <w:ind w:firstLine="566" w:firstLineChars="236"/>
        <w:jc w:val="left"/>
        <w:rPr>
          <w:rFonts w:hint="eastAsia" w:asciiTheme="minorEastAsia" w:hAnsiTheme="minorEastAsia" w:eastAsiaTheme="minorEastAsia"/>
          <w:bCs/>
          <w:sz w:val="24"/>
        </w:rPr>
      </w:pPr>
      <w:r>
        <w:rPr>
          <w:rFonts w:hint="eastAsia" w:asciiTheme="minorEastAsia" w:hAnsiTheme="minorEastAsia" w:eastAsiaTheme="minorEastAsia"/>
          <w:bCs/>
          <w:sz w:val="24"/>
        </w:rPr>
        <w:t>铜离子       &lt; 0.1         &lt;0.1       mg/l</w:t>
      </w:r>
    </w:p>
    <w:p w14:paraId="374A4D85">
      <w:pPr>
        <w:numPr>
          <w:ilvl w:val="0"/>
          <w:numId w:val="0"/>
        </w:numPr>
        <w:snapToGrid w:val="0"/>
        <w:spacing w:line="360" w:lineRule="auto"/>
        <w:jc w:val="left"/>
        <w:rPr>
          <w:rFonts w:asciiTheme="minorEastAsia" w:hAnsiTheme="minorEastAsia" w:eastAsiaTheme="minorEastAsia"/>
          <w:bCs/>
          <w:sz w:val="24"/>
        </w:rPr>
      </w:pPr>
      <w:r>
        <w:rPr>
          <w:rFonts w:hint="eastAsia" w:asciiTheme="minorEastAsia" w:hAnsiTheme="minorEastAsia"/>
          <w:bCs/>
          <w:sz w:val="24"/>
          <w:lang w:val="en-US" w:eastAsia="zh-CN"/>
        </w:rPr>
        <w:t xml:space="preserve">本工程所需的化学药剂、操作工具均由乙方提供，甲方派人配合设备的操作及提供所需的水、电。实际施工时，乙方提供具体的工程施工时间表，未尽事宜，双方协商解决。    </w:t>
      </w:r>
    </w:p>
    <w:p w14:paraId="22313DA7">
      <w:pPr>
        <w:numPr>
          <w:ilvl w:val="0"/>
          <w:numId w:val="0"/>
        </w:numPr>
        <w:snapToGrid w:val="0"/>
        <w:spacing w:line="360" w:lineRule="auto"/>
        <w:jc w:val="left"/>
        <w:rPr>
          <w:rFonts w:asciiTheme="minorEastAsia" w:hAnsiTheme="minorEastAsia" w:eastAsiaTheme="minorEastAsia"/>
          <w:bCs/>
          <w:sz w:val="24"/>
        </w:rPr>
      </w:pPr>
      <w:r>
        <w:rPr>
          <w:rFonts w:hint="eastAsia" w:asciiTheme="minorEastAsia" w:hAnsiTheme="minorEastAsia"/>
          <w:bCs/>
          <w:sz w:val="24"/>
          <w:lang w:val="en-US" w:eastAsia="zh-CN"/>
        </w:rPr>
        <w:t xml:space="preserve">    </w:t>
      </w:r>
      <w:r>
        <w:rPr>
          <w:rFonts w:hint="eastAsia" w:asciiTheme="minorEastAsia" w:hAnsiTheme="minorEastAsia" w:eastAsiaTheme="minorEastAsia"/>
          <w:bCs/>
          <w:sz w:val="24"/>
        </w:rPr>
        <w:t>六、本工程所需的化学药剂、操作工具均由乙方提供，甲方派人配合设备的操作及提供所需的水、电。实际施工时，乙方提供具体的工程施工时间表，未尽事宜，双方协商解决。</w:t>
      </w:r>
    </w:p>
    <w:p w14:paraId="2296D2C7">
      <w:pPr>
        <w:snapToGrid w:val="0"/>
        <w:spacing w:line="360" w:lineRule="auto"/>
        <w:ind w:firstLine="480" w:firstLineChars="200"/>
        <w:jc w:val="left"/>
        <w:rPr>
          <w:rFonts w:asciiTheme="minorEastAsia" w:hAnsiTheme="minorEastAsia" w:eastAsiaTheme="minorEastAsia"/>
          <w:bCs/>
          <w:sz w:val="24"/>
        </w:rPr>
      </w:pPr>
      <w:bookmarkStart w:id="5" w:name="合同附件（空调附属设备）"/>
      <w:r>
        <w:rPr>
          <w:rFonts w:hint="eastAsia" w:asciiTheme="minorEastAsia" w:hAnsiTheme="minorEastAsia" w:eastAsiaTheme="minorEastAsia"/>
          <w:bCs/>
          <w:sz w:val="24"/>
        </w:rPr>
        <w:t>（一）空调附属设备</w:t>
      </w:r>
      <w:bookmarkEnd w:id="5"/>
      <w:r>
        <w:rPr>
          <w:rFonts w:hint="eastAsia" w:asciiTheme="minorEastAsia" w:hAnsiTheme="minorEastAsia" w:eastAsiaTheme="minorEastAsia"/>
          <w:bCs/>
          <w:sz w:val="24"/>
        </w:rPr>
        <w:t>保养工作内容</w:t>
      </w:r>
    </w:p>
    <w:p w14:paraId="53478394">
      <w:pPr>
        <w:snapToGrid w:val="0"/>
        <w:spacing w:line="360" w:lineRule="auto"/>
        <w:ind w:firstLine="566" w:firstLineChars="236"/>
        <w:rPr>
          <w:rFonts w:asciiTheme="minorEastAsia" w:hAnsiTheme="minorEastAsia" w:eastAsiaTheme="minorEastAsia"/>
          <w:bCs/>
          <w:sz w:val="24"/>
        </w:rPr>
      </w:pPr>
      <w:r>
        <w:rPr>
          <w:rFonts w:hint="eastAsia" w:asciiTheme="minorEastAsia" w:hAnsiTheme="minorEastAsia" w:eastAsiaTheme="minorEastAsia"/>
          <w:bCs/>
          <w:sz w:val="24"/>
        </w:rPr>
        <w:t>每月对空调系统设备例检一次，项目如下：</w:t>
      </w:r>
    </w:p>
    <w:p w14:paraId="78C63AE4">
      <w:pPr>
        <w:snapToGrid w:val="0"/>
        <w:spacing w:line="360" w:lineRule="auto"/>
        <w:ind w:firstLine="240" w:firstLineChars="100"/>
        <w:rPr>
          <w:rFonts w:hint="eastAsia" w:asciiTheme="minorEastAsia" w:hAnsiTheme="minorEastAsia" w:eastAsiaTheme="minorEastAsia"/>
          <w:bCs/>
          <w:sz w:val="24"/>
        </w:rPr>
      </w:pPr>
      <w:r>
        <w:rPr>
          <w:rFonts w:hint="eastAsia" w:asciiTheme="minorEastAsia" w:hAnsiTheme="minorEastAsia" w:eastAsiaTheme="minorEastAsia"/>
          <w:bCs/>
          <w:sz w:val="24"/>
        </w:rPr>
        <w:t>①检查空调泵运行状况，发现问题及时汇报处理；检查压力读数、开关位置，漏油、漏水现象。如有异常及时上报；</w:t>
      </w:r>
    </w:p>
    <w:p w14:paraId="113C56C2">
      <w:pPr>
        <w:snapToGrid w:val="0"/>
        <w:spacing w:line="360" w:lineRule="auto"/>
        <w:ind w:firstLine="240" w:firstLineChars="100"/>
        <w:rPr>
          <w:rFonts w:hint="eastAsia" w:asciiTheme="minorEastAsia" w:hAnsiTheme="minorEastAsia" w:eastAsiaTheme="minorEastAsia"/>
          <w:bCs/>
          <w:sz w:val="24"/>
        </w:rPr>
      </w:pPr>
      <w:r>
        <w:rPr>
          <w:rFonts w:hint="eastAsia" w:asciiTheme="minorEastAsia" w:hAnsiTheme="minorEastAsia" w:eastAsiaTheme="minorEastAsia"/>
          <w:bCs/>
          <w:sz w:val="24"/>
        </w:rPr>
        <w:t>②检查空调冷却塔浮球补水是否正常，调校各阀门平衡水位。</w:t>
      </w:r>
    </w:p>
    <w:p w14:paraId="50128F79">
      <w:pPr>
        <w:snapToGrid w:val="0"/>
        <w:spacing w:line="360" w:lineRule="auto"/>
        <w:ind w:firstLine="240" w:firstLineChars="100"/>
        <w:rPr>
          <w:rFonts w:hint="eastAsia" w:asciiTheme="minorEastAsia" w:hAnsiTheme="minorEastAsia" w:eastAsiaTheme="minorEastAsia"/>
          <w:bCs/>
          <w:sz w:val="24"/>
        </w:rPr>
      </w:pPr>
      <w:r>
        <w:rPr>
          <w:rFonts w:hint="eastAsia" w:asciiTheme="minorEastAsia" w:hAnsiTheme="minorEastAsia" w:eastAsiaTheme="minorEastAsia"/>
          <w:bCs/>
          <w:sz w:val="24"/>
        </w:rPr>
        <w:t>每季对空调系统设备保养工作如下：</w:t>
      </w:r>
    </w:p>
    <w:p w14:paraId="66CE2F4F">
      <w:pPr>
        <w:snapToGrid w:val="0"/>
        <w:spacing w:line="360" w:lineRule="auto"/>
        <w:ind w:firstLine="240" w:firstLineChars="100"/>
        <w:rPr>
          <w:rFonts w:hint="eastAsia" w:asciiTheme="minorEastAsia" w:hAnsiTheme="minorEastAsia" w:eastAsiaTheme="minorEastAsia"/>
          <w:bCs/>
          <w:sz w:val="24"/>
        </w:rPr>
      </w:pPr>
      <w:r>
        <w:rPr>
          <w:rFonts w:hint="eastAsia" w:asciiTheme="minorEastAsia" w:hAnsiTheme="minorEastAsia" w:eastAsiaTheme="minorEastAsia"/>
          <w:bCs/>
          <w:sz w:val="24"/>
        </w:rPr>
        <w:t>①检查泵体螺丝；对冷却塔检测运转是否有异响和振动；</w:t>
      </w:r>
    </w:p>
    <w:p w14:paraId="6641FF3F">
      <w:pPr>
        <w:snapToGrid w:val="0"/>
        <w:spacing w:line="360" w:lineRule="auto"/>
        <w:ind w:firstLine="240" w:firstLineChars="100"/>
        <w:rPr>
          <w:rFonts w:hint="eastAsia" w:asciiTheme="minorEastAsia" w:hAnsiTheme="minorEastAsia" w:eastAsiaTheme="minorEastAsia"/>
          <w:bCs/>
          <w:sz w:val="24"/>
        </w:rPr>
      </w:pPr>
      <w:r>
        <w:rPr>
          <w:rFonts w:hint="eastAsia" w:asciiTheme="minorEastAsia" w:hAnsiTheme="minorEastAsia" w:eastAsiaTheme="minorEastAsia"/>
          <w:bCs/>
          <w:sz w:val="24"/>
        </w:rPr>
        <w:t>②检查马达、皮带轮、皮带；测量运转时温度；校正塔内阀门、水流、塔内水位。</w:t>
      </w:r>
    </w:p>
    <w:p w14:paraId="75D8AF75">
      <w:pPr>
        <w:snapToGrid w:val="0"/>
        <w:spacing w:line="360" w:lineRule="auto"/>
        <w:ind w:firstLine="240" w:firstLineChars="100"/>
        <w:rPr>
          <w:rFonts w:hint="eastAsia" w:asciiTheme="minorEastAsia" w:hAnsiTheme="minorEastAsia" w:eastAsiaTheme="minorEastAsia"/>
          <w:bCs/>
          <w:sz w:val="24"/>
        </w:rPr>
      </w:pPr>
      <w:r>
        <w:rPr>
          <w:rFonts w:hint="eastAsia" w:asciiTheme="minorEastAsia" w:hAnsiTheme="minorEastAsia" w:eastAsiaTheme="minorEastAsia"/>
          <w:bCs/>
          <w:sz w:val="24"/>
        </w:rPr>
        <w:t>每半年对空调系统设备保养工作如下：</w:t>
      </w:r>
    </w:p>
    <w:p w14:paraId="5DE775AB">
      <w:pPr>
        <w:snapToGrid w:val="0"/>
        <w:spacing w:line="360" w:lineRule="auto"/>
        <w:ind w:firstLine="240" w:firstLineChars="100"/>
        <w:rPr>
          <w:rFonts w:hint="eastAsia" w:asciiTheme="minorEastAsia" w:hAnsiTheme="minorEastAsia" w:eastAsiaTheme="minorEastAsia"/>
          <w:bCs/>
          <w:sz w:val="24"/>
        </w:rPr>
      </w:pPr>
      <w:r>
        <w:rPr>
          <w:rFonts w:hint="eastAsia" w:asciiTheme="minorEastAsia" w:hAnsiTheme="minorEastAsia" w:eastAsiaTheme="minorEastAsia"/>
          <w:bCs/>
          <w:sz w:val="24"/>
        </w:rPr>
        <w:t>①空调泵检查密封套、填料、软接等配件是否异常；</w:t>
      </w:r>
    </w:p>
    <w:p w14:paraId="60D3F45B">
      <w:pPr>
        <w:snapToGrid w:val="0"/>
        <w:spacing w:line="360" w:lineRule="auto"/>
        <w:ind w:firstLine="240" w:firstLineChars="100"/>
        <w:rPr>
          <w:rFonts w:hint="eastAsia" w:asciiTheme="minorEastAsia" w:hAnsiTheme="minorEastAsia" w:eastAsiaTheme="minorEastAsia"/>
          <w:bCs/>
          <w:sz w:val="24"/>
        </w:rPr>
      </w:pPr>
      <w:r>
        <w:rPr>
          <w:rFonts w:hint="eastAsia" w:asciiTheme="minorEastAsia" w:hAnsiTheme="minorEastAsia" w:eastAsiaTheme="minorEastAsia"/>
          <w:bCs/>
          <w:sz w:val="24"/>
        </w:rPr>
        <w:t>②调整皮带轮与键的松动现象；清理减速箱异物等。</w:t>
      </w:r>
    </w:p>
    <w:p w14:paraId="5BAA285C">
      <w:pPr>
        <w:snapToGrid w:val="0"/>
        <w:spacing w:line="360" w:lineRule="auto"/>
        <w:ind w:firstLine="240" w:firstLineChars="100"/>
        <w:rPr>
          <w:rFonts w:hint="eastAsia" w:asciiTheme="minorEastAsia" w:hAnsiTheme="minorEastAsia" w:eastAsiaTheme="minorEastAsia"/>
          <w:bCs/>
          <w:sz w:val="24"/>
        </w:rPr>
      </w:pPr>
      <w:r>
        <w:rPr>
          <w:rFonts w:hint="eastAsia" w:asciiTheme="minorEastAsia" w:hAnsiTheme="minorEastAsia" w:eastAsiaTheme="minorEastAsia"/>
          <w:bCs/>
          <w:sz w:val="24"/>
        </w:rPr>
        <w:t>年度对空调系统设备保养工作如下：</w:t>
      </w:r>
    </w:p>
    <w:p w14:paraId="259D0A12">
      <w:pPr>
        <w:snapToGrid w:val="0"/>
        <w:spacing w:line="360" w:lineRule="auto"/>
        <w:ind w:firstLine="240" w:firstLineChars="100"/>
        <w:rPr>
          <w:rFonts w:hint="eastAsia" w:asciiTheme="minorEastAsia" w:hAnsiTheme="minorEastAsia" w:eastAsiaTheme="minorEastAsia"/>
          <w:bCs/>
          <w:sz w:val="24"/>
        </w:rPr>
      </w:pPr>
      <w:r>
        <w:rPr>
          <w:rFonts w:hint="eastAsia" w:asciiTheme="minorEastAsia" w:hAnsiTheme="minorEastAsia" w:eastAsiaTheme="minorEastAsia"/>
          <w:bCs/>
          <w:sz w:val="24"/>
        </w:rPr>
        <w:t>①检查空调泵及阀门；检查压力表，温度表的准确性；</w:t>
      </w:r>
    </w:p>
    <w:p w14:paraId="47496195">
      <w:pPr>
        <w:snapToGrid w:val="0"/>
        <w:spacing w:line="360" w:lineRule="auto"/>
        <w:ind w:firstLine="240" w:firstLineChars="100"/>
        <w:rPr>
          <w:rFonts w:hint="eastAsia" w:asciiTheme="minorEastAsia" w:hAnsiTheme="minorEastAsia" w:eastAsiaTheme="minorEastAsia"/>
          <w:bCs/>
          <w:sz w:val="24"/>
        </w:rPr>
      </w:pPr>
      <w:r>
        <w:rPr>
          <w:rFonts w:hint="eastAsia" w:asciiTheme="minorEastAsia" w:hAnsiTheme="minorEastAsia" w:eastAsiaTheme="minorEastAsia"/>
          <w:bCs/>
          <w:sz w:val="24"/>
        </w:rPr>
        <w:t>②检查运动部件磨损及密封情况；</w:t>
      </w:r>
    </w:p>
    <w:p w14:paraId="6A10C274">
      <w:pPr>
        <w:snapToGrid w:val="0"/>
        <w:spacing w:line="360" w:lineRule="auto"/>
        <w:ind w:firstLine="240" w:firstLineChars="100"/>
        <w:rPr>
          <w:rFonts w:hint="eastAsia" w:asciiTheme="minorEastAsia" w:hAnsiTheme="minorEastAsia" w:eastAsiaTheme="minorEastAsia"/>
          <w:bCs/>
          <w:sz w:val="24"/>
        </w:rPr>
      </w:pPr>
      <w:r>
        <w:rPr>
          <w:rFonts w:hint="eastAsia" w:asciiTheme="minorEastAsia" w:hAnsiTheme="minorEastAsia" w:eastAsiaTheme="minorEastAsia"/>
          <w:bCs/>
          <w:sz w:val="24"/>
        </w:rPr>
        <w:t>③检查玻璃缸层，必要时调节风叶角度及运动部件；</w:t>
      </w:r>
    </w:p>
    <w:p w14:paraId="74410A0E">
      <w:pPr>
        <w:snapToGrid w:val="0"/>
        <w:spacing w:line="360" w:lineRule="auto"/>
        <w:ind w:firstLine="240" w:firstLineChars="100"/>
        <w:rPr>
          <w:rFonts w:hint="eastAsia" w:asciiTheme="minorEastAsia" w:hAnsiTheme="minorEastAsia" w:eastAsiaTheme="minorEastAsia"/>
          <w:bCs/>
          <w:sz w:val="24"/>
        </w:rPr>
      </w:pPr>
      <w:r>
        <w:rPr>
          <w:rFonts w:hint="eastAsia" w:asciiTheme="minorEastAsia" w:hAnsiTheme="minorEastAsia" w:eastAsiaTheme="minorEastAsia"/>
          <w:bCs/>
          <w:sz w:val="24"/>
        </w:rPr>
        <w:t>④及时上报设备故障失效或异常。</w:t>
      </w:r>
    </w:p>
    <w:p w14:paraId="3AA7ED32">
      <w:pPr>
        <w:snapToGrid w:val="0"/>
        <w:spacing w:line="360" w:lineRule="auto"/>
        <w:ind w:firstLine="566" w:firstLineChars="236"/>
        <w:rPr>
          <w:rFonts w:asciiTheme="minorEastAsia" w:hAnsiTheme="minorEastAsia" w:eastAsiaTheme="minorEastAsia"/>
          <w:bCs/>
          <w:sz w:val="24"/>
        </w:rPr>
      </w:pPr>
      <w:r>
        <w:rPr>
          <w:rFonts w:hint="eastAsia" w:asciiTheme="minorEastAsia" w:hAnsiTheme="minorEastAsia" w:eastAsiaTheme="minorEastAsia"/>
          <w:bCs/>
          <w:sz w:val="24"/>
          <w:lang w:val="en-US" w:eastAsia="zh-CN"/>
        </w:rPr>
        <w:t>七</w:t>
      </w:r>
      <w:r>
        <w:rPr>
          <w:rFonts w:hint="eastAsia" w:asciiTheme="minorEastAsia" w:hAnsiTheme="minorEastAsia" w:eastAsiaTheme="minorEastAsia"/>
          <w:bCs/>
          <w:sz w:val="24"/>
        </w:rPr>
        <w:t>、报价人资格要求：</w:t>
      </w:r>
    </w:p>
    <w:p w14:paraId="0B0FDBEC">
      <w:pPr>
        <w:snapToGrid w:val="0"/>
        <w:spacing w:line="360" w:lineRule="auto"/>
        <w:ind w:firstLine="566" w:firstLineChars="236"/>
        <w:rPr>
          <w:rFonts w:asciiTheme="minorEastAsia" w:hAnsiTheme="minorEastAsia" w:eastAsiaTheme="minorEastAsia"/>
          <w:bCs/>
          <w:sz w:val="24"/>
        </w:rPr>
      </w:pPr>
      <w:r>
        <w:rPr>
          <w:rFonts w:hint="eastAsia" w:asciiTheme="minorEastAsia" w:hAnsiTheme="minorEastAsia" w:eastAsiaTheme="minorEastAsia"/>
          <w:bCs/>
          <w:sz w:val="24"/>
        </w:rPr>
        <w:t>1、具有相关的经营许可资质；</w:t>
      </w:r>
    </w:p>
    <w:p w14:paraId="7B4DAA20">
      <w:pPr>
        <w:snapToGrid w:val="0"/>
        <w:spacing w:line="360" w:lineRule="auto"/>
        <w:ind w:firstLine="566" w:firstLineChars="236"/>
        <w:rPr>
          <w:rFonts w:asciiTheme="minorEastAsia" w:hAnsiTheme="minorEastAsia" w:eastAsiaTheme="minorEastAsia"/>
          <w:bCs/>
          <w:sz w:val="24"/>
        </w:rPr>
      </w:pPr>
      <w:r>
        <w:rPr>
          <w:rFonts w:hint="eastAsia" w:asciiTheme="minorEastAsia" w:hAnsiTheme="minorEastAsia" w:eastAsiaTheme="minorEastAsia"/>
          <w:bCs/>
          <w:sz w:val="24"/>
        </w:rPr>
        <w:t>2、 报价委托代理人须是投标机构的正式员工，在规定时间内提交报名材料。</w:t>
      </w:r>
    </w:p>
    <w:p w14:paraId="0EACF0CC">
      <w:pPr>
        <w:snapToGrid w:val="0"/>
        <w:spacing w:line="360" w:lineRule="auto"/>
        <w:ind w:firstLine="566" w:firstLineChars="236"/>
        <w:rPr>
          <w:rFonts w:asciiTheme="minorEastAsia" w:hAnsiTheme="minorEastAsia" w:eastAsiaTheme="minorEastAsia"/>
          <w:bCs/>
          <w:sz w:val="24"/>
        </w:rPr>
      </w:pPr>
      <w:r>
        <w:rPr>
          <w:rFonts w:hint="eastAsia" w:asciiTheme="minorEastAsia" w:hAnsiTheme="minorEastAsia" w:eastAsiaTheme="minorEastAsia"/>
          <w:bCs/>
          <w:sz w:val="24"/>
        </w:rPr>
        <w:t>3、报价人未被列入失信被执行人、重大税收违法案件当事人名单、政府采购严重违法失信行为记录名单并符合政府采购法第二十二条规定条件。如开标后经举报查实报价人在开标前已存在以上行为并刻意隐瞒，则取消其报价资格并将相关企业及人员列入黑名单。</w:t>
      </w:r>
    </w:p>
    <w:p w14:paraId="0815245A">
      <w:pPr>
        <w:snapToGrid w:val="0"/>
        <w:spacing w:line="360" w:lineRule="auto"/>
        <w:ind w:firstLine="566" w:firstLineChars="236"/>
        <w:rPr>
          <w:rFonts w:asciiTheme="minorEastAsia" w:hAnsiTheme="minorEastAsia" w:eastAsiaTheme="minorEastAsia"/>
          <w:bCs/>
          <w:sz w:val="24"/>
        </w:rPr>
      </w:pPr>
      <w:r>
        <w:rPr>
          <w:rFonts w:hint="eastAsia" w:asciiTheme="minorEastAsia" w:hAnsiTheme="minorEastAsia" w:eastAsiaTheme="minorEastAsia"/>
          <w:bCs/>
          <w:sz w:val="24"/>
        </w:rPr>
        <w:t>九、报名材料：</w:t>
      </w:r>
    </w:p>
    <w:p w14:paraId="570853CA">
      <w:pPr>
        <w:snapToGrid w:val="0"/>
        <w:spacing w:line="360" w:lineRule="auto"/>
        <w:ind w:firstLine="566" w:firstLineChars="236"/>
        <w:rPr>
          <w:rFonts w:asciiTheme="minorEastAsia" w:hAnsiTheme="minorEastAsia" w:eastAsiaTheme="minorEastAsia"/>
          <w:bCs/>
          <w:sz w:val="24"/>
        </w:rPr>
      </w:pPr>
      <w:r>
        <w:rPr>
          <w:rFonts w:hint="eastAsia" w:asciiTheme="minorEastAsia" w:hAnsiTheme="minorEastAsia" w:eastAsiaTheme="minorEastAsia"/>
          <w:bCs/>
          <w:sz w:val="24"/>
        </w:rPr>
        <w:t>潜在报价人应和我院充分沟通，了解我院中央空调系统基本情况，并在公示期结束前提交论证材料（以下材料需加盖公章）。</w:t>
      </w:r>
    </w:p>
    <w:p w14:paraId="4FF660A6">
      <w:pPr>
        <w:snapToGrid w:val="0"/>
        <w:spacing w:line="360" w:lineRule="auto"/>
        <w:ind w:firstLine="566" w:firstLineChars="236"/>
        <w:rPr>
          <w:rFonts w:asciiTheme="minorEastAsia" w:hAnsiTheme="minorEastAsia" w:eastAsiaTheme="minorEastAsia"/>
          <w:bCs/>
          <w:sz w:val="24"/>
        </w:rPr>
      </w:pPr>
      <w:r>
        <w:rPr>
          <w:rFonts w:hint="eastAsia" w:asciiTheme="minorEastAsia" w:hAnsiTheme="minorEastAsia" w:eastAsiaTheme="minorEastAsia"/>
          <w:bCs/>
          <w:sz w:val="24"/>
        </w:rPr>
        <w:t>1、资格文件：包括投标公司资质证件、法人身份证复印件、报价人身份证复印件及个人授权书、联系方式(手机号码及电子邮箱)。</w:t>
      </w:r>
    </w:p>
    <w:p w14:paraId="061863EA">
      <w:pPr>
        <w:snapToGrid w:val="0"/>
        <w:spacing w:line="360" w:lineRule="auto"/>
        <w:ind w:firstLine="566" w:firstLineChars="236"/>
        <w:rPr>
          <w:rFonts w:asciiTheme="minorEastAsia" w:hAnsiTheme="minorEastAsia" w:eastAsiaTheme="minorEastAsia"/>
          <w:bCs/>
          <w:sz w:val="24"/>
        </w:rPr>
      </w:pPr>
      <w:r>
        <w:rPr>
          <w:rFonts w:hint="eastAsia" w:asciiTheme="minorEastAsia" w:hAnsiTheme="minorEastAsia" w:eastAsiaTheme="minorEastAsia"/>
          <w:bCs/>
          <w:sz w:val="24"/>
        </w:rPr>
        <w:t>2、服务方案：供应商根据自身情况，提供服务流程，企业资质、企业优势、企业制度、员工岗位职责、应急措施、考核措施、处罚措施、服务案例、明细报价及报价人认为需要加以说明的其他内容等。</w:t>
      </w:r>
    </w:p>
    <w:p w14:paraId="52CF7EF4">
      <w:pPr>
        <w:snapToGrid w:val="0"/>
        <w:spacing w:line="360" w:lineRule="auto"/>
        <w:ind w:firstLine="566" w:firstLineChars="236"/>
        <w:rPr>
          <w:rFonts w:asciiTheme="minorEastAsia" w:hAnsiTheme="minorEastAsia" w:eastAsiaTheme="minorEastAsia"/>
          <w:bCs/>
          <w:sz w:val="24"/>
        </w:rPr>
      </w:pPr>
      <w:r>
        <w:rPr>
          <w:rFonts w:hint="eastAsia" w:asciiTheme="minorEastAsia" w:hAnsiTheme="minorEastAsia" w:eastAsiaTheme="minorEastAsia"/>
          <w:bCs/>
          <w:sz w:val="24"/>
        </w:rPr>
        <w:t>3、报价书（详见附件1）。</w:t>
      </w:r>
    </w:p>
    <w:p w14:paraId="1A51C2A4">
      <w:pPr>
        <w:snapToGrid w:val="0"/>
        <w:spacing w:line="360" w:lineRule="auto"/>
        <w:ind w:firstLine="566" w:firstLineChars="236"/>
        <w:rPr>
          <w:rFonts w:asciiTheme="minorEastAsia" w:hAnsiTheme="minorEastAsia" w:eastAsiaTheme="minorEastAsia"/>
          <w:bCs/>
          <w:sz w:val="24"/>
        </w:rPr>
      </w:pPr>
      <w:r>
        <w:rPr>
          <w:rFonts w:hint="eastAsia" w:asciiTheme="minorEastAsia" w:hAnsiTheme="minorEastAsia" w:eastAsiaTheme="minorEastAsia"/>
          <w:bCs/>
          <w:sz w:val="24"/>
        </w:rPr>
        <w:t>十、公示时间：本公告发布当日起5个日历日；</w:t>
      </w:r>
    </w:p>
    <w:p w14:paraId="5D6555FC">
      <w:pPr>
        <w:snapToGrid w:val="0"/>
        <w:spacing w:line="360" w:lineRule="auto"/>
        <w:ind w:firstLine="566" w:firstLineChars="236"/>
        <w:rPr>
          <w:rFonts w:asciiTheme="minorEastAsia" w:hAnsiTheme="minorEastAsia" w:eastAsiaTheme="minorEastAsia"/>
          <w:bCs/>
          <w:sz w:val="24"/>
        </w:rPr>
      </w:pPr>
      <w:r>
        <w:rPr>
          <w:rFonts w:hint="eastAsia" w:asciiTheme="minorEastAsia" w:hAnsiTheme="minorEastAsia" w:eastAsiaTheme="minorEastAsia"/>
          <w:bCs/>
          <w:sz w:val="24"/>
        </w:rPr>
        <w:t>十一、报价文件递交时间：202</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20</w:t>
      </w:r>
      <w:r>
        <w:rPr>
          <w:rFonts w:hint="eastAsia" w:asciiTheme="minorEastAsia" w:hAnsiTheme="minorEastAsia" w:eastAsiaTheme="minorEastAsia"/>
          <w:bCs/>
          <w:sz w:val="24"/>
        </w:rPr>
        <w:t>日17：00前（北京时间）密封送达泉州市鲤城区金龙街道388号 泉州市中医院</w:t>
      </w:r>
      <w:r>
        <w:rPr>
          <w:rFonts w:hint="eastAsia" w:asciiTheme="minorEastAsia" w:hAnsiTheme="minorEastAsia" w:eastAsiaTheme="minorEastAsia"/>
          <w:bCs/>
          <w:sz w:val="24"/>
          <w:lang w:val="en-US" w:eastAsia="zh-CN"/>
        </w:rPr>
        <w:t>门诊四楼杏林走廊后</w:t>
      </w:r>
      <w:r>
        <w:rPr>
          <w:rFonts w:hint="eastAsia" w:asciiTheme="minorEastAsia" w:hAnsiTheme="minorEastAsia" w:eastAsiaTheme="minorEastAsia"/>
          <w:bCs/>
          <w:sz w:val="24"/>
        </w:rPr>
        <w:t>总务科 小谢收， 联系电话： 13559621668（逾期送达的报价文件不予接受）。</w:t>
      </w:r>
    </w:p>
    <w:p w14:paraId="3BD459D8">
      <w:pPr>
        <w:snapToGrid w:val="0"/>
        <w:spacing w:line="360" w:lineRule="auto"/>
        <w:rPr>
          <w:rFonts w:asciiTheme="minorEastAsia" w:hAnsiTheme="minorEastAsia" w:eastAsiaTheme="minorEastAsia"/>
          <w:bCs/>
          <w:sz w:val="24"/>
        </w:rPr>
      </w:pPr>
    </w:p>
    <w:p w14:paraId="0A43D500">
      <w:pPr>
        <w:snapToGrid w:val="0"/>
        <w:spacing w:line="360" w:lineRule="auto"/>
        <w:ind w:right="240" w:firstLine="566" w:firstLineChars="236"/>
        <w:jc w:val="right"/>
        <w:rPr>
          <w:rFonts w:asciiTheme="minorEastAsia" w:hAnsiTheme="minorEastAsia" w:eastAsiaTheme="minorEastAsia"/>
          <w:bCs/>
          <w:sz w:val="24"/>
        </w:rPr>
      </w:pPr>
      <w:bookmarkStart w:id="6" w:name="_GoBack"/>
      <w:bookmarkEnd w:id="6"/>
      <w:r>
        <w:rPr>
          <w:rFonts w:hint="eastAsia" w:asciiTheme="minorEastAsia" w:hAnsiTheme="minorEastAsia" w:eastAsiaTheme="minorEastAsia"/>
          <w:bCs/>
          <w:sz w:val="24"/>
        </w:rPr>
        <w:t>泉州市中医院</w:t>
      </w:r>
    </w:p>
    <w:p w14:paraId="62AB0232">
      <w:pPr>
        <w:snapToGrid w:val="0"/>
        <w:spacing w:line="360" w:lineRule="auto"/>
        <w:ind w:firstLine="566" w:firstLineChars="236"/>
        <w:jc w:val="right"/>
        <w:rPr>
          <w:rFonts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 xml:space="preserve"> 月 </w:t>
      </w:r>
      <w:r>
        <w:rPr>
          <w:rFonts w:hint="eastAsia" w:asciiTheme="minorEastAsia" w:hAnsiTheme="minorEastAsia" w:eastAsiaTheme="minorEastAsia"/>
          <w:bCs/>
          <w:sz w:val="24"/>
          <w:lang w:val="en-US" w:eastAsia="zh-CN"/>
        </w:rPr>
        <w:t>12</w:t>
      </w:r>
      <w:r>
        <w:rPr>
          <w:rFonts w:hint="eastAsia" w:asciiTheme="minorEastAsia" w:hAnsiTheme="minorEastAsia" w:eastAsiaTheme="minorEastAsia"/>
          <w:bCs/>
          <w:sz w:val="24"/>
        </w:rPr>
        <w:t xml:space="preserve"> 日</w:t>
      </w:r>
    </w:p>
    <w:p w14:paraId="07EB78BA">
      <w:pPr>
        <w:snapToGrid w:val="0"/>
        <w:spacing w:line="360" w:lineRule="auto"/>
        <w:ind w:firstLine="566" w:firstLineChars="236"/>
        <w:rPr>
          <w:rFonts w:asciiTheme="minorEastAsia" w:hAnsiTheme="minorEastAsia" w:eastAsiaTheme="minorEastAsia"/>
          <w:bCs/>
          <w:sz w:val="24"/>
        </w:rPr>
      </w:pPr>
    </w:p>
    <w:p w14:paraId="32768E96">
      <w:pPr>
        <w:snapToGrid w:val="0"/>
        <w:spacing w:line="360" w:lineRule="auto"/>
        <w:ind w:firstLine="566" w:firstLineChars="236"/>
        <w:rPr>
          <w:rFonts w:asciiTheme="minorEastAsia" w:hAnsiTheme="minorEastAsia" w:eastAsiaTheme="minorEastAsia"/>
          <w:bCs/>
          <w:sz w:val="24"/>
        </w:rPr>
      </w:pPr>
    </w:p>
    <w:p w14:paraId="6EDE2988">
      <w:pPr>
        <w:snapToGrid w:val="0"/>
        <w:spacing w:line="360" w:lineRule="auto"/>
        <w:ind w:firstLine="566" w:firstLineChars="236"/>
        <w:rPr>
          <w:rFonts w:asciiTheme="minorEastAsia" w:hAnsiTheme="minorEastAsia" w:eastAsiaTheme="minorEastAsia"/>
          <w:bCs/>
          <w:sz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134" w:bottom="1440" w:left="1418" w:header="851" w:footer="68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0763614"/>
      <w:docPartObj>
        <w:docPartGallery w:val="autotext"/>
      </w:docPartObj>
    </w:sdtPr>
    <w:sdtContent>
      <w:p w14:paraId="23302974">
        <w:pPr>
          <w:pStyle w:val="8"/>
        </w:pPr>
        <w:r>
          <w:ptab w:relativeTo="margin" w:alignment="center" w:leader="none"/>
        </w:r>
        <w:r>
          <w:fldChar w:fldCharType="begin"/>
        </w:r>
        <w:r>
          <w:instrText xml:space="preserve"> PAGE   \* MERGEFORMAT </w:instrText>
        </w:r>
        <w:r>
          <w:fldChar w:fldCharType="separate"/>
        </w:r>
        <w:r>
          <w:rPr>
            <w:lang w:val="zh-CN"/>
          </w:rPr>
          <w:t>1</w:t>
        </w:r>
        <w:r>
          <w:rPr>
            <w:lang w:val="zh-CN"/>
          </w:rPr>
          <w:fldChar w:fldCharType="end"/>
        </w:r>
      </w:p>
    </w:sdtContent>
  </w:sdt>
  <w:p w14:paraId="301217B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3BAC">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C7942">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C55CB">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B2354">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3FB5">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E0BED"/>
    <w:multiLevelType w:val="multilevel"/>
    <w:tmpl w:val="3C1E0BED"/>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2FD196"/>
    <w:multiLevelType w:val="singleLevel"/>
    <w:tmpl w:val="572FD196"/>
    <w:lvl w:ilvl="0" w:tentative="0">
      <w:start w:val="2"/>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7F59"/>
    <w:rsid w:val="000132AB"/>
    <w:rsid w:val="00037A07"/>
    <w:rsid w:val="000A2141"/>
    <w:rsid w:val="000A2C63"/>
    <w:rsid w:val="000B09C6"/>
    <w:rsid w:val="000D201F"/>
    <w:rsid w:val="000D3FE6"/>
    <w:rsid w:val="000D472D"/>
    <w:rsid w:val="001722D1"/>
    <w:rsid w:val="00183059"/>
    <w:rsid w:val="00186D40"/>
    <w:rsid w:val="001B3024"/>
    <w:rsid w:val="001B366D"/>
    <w:rsid w:val="001E3955"/>
    <w:rsid w:val="001E5416"/>
    <w:rsid w:val="001F7243"/>
    <w:rsid w:val="00231516"/>
    <w:rsid w:val="00242F5C"/>
    <w:rsid w:val="002A3020"/>
    <w:rsid w:val="002B24CD"/>
    <w:rsid w:val="00344D46"/>
    <w:rsid w:val="00377F59"/>
    <w:rsid w:val="003A4693"/>
    <w:rsid w:val="003E23A4"/>
    <w:rsid w:val="00446091"/>
    <w:rsid w:val="004749B6"/>
    <w:rsid w:val="004E0D27"/>
    <w:rsid w:val="005026C6"/>
    <w:rsid w:val="005901C8"/>
    <w:rsid w:val="005B2C18"/>
    <w:rsid w:val="00600E3C"/>
    <w:rsid w:val="006018A3"/>
    <w:rsid w:val="006114AA"/>
    <w:rsid w:val="006600F6"/>
    <w:rsid w:val="0066261A"/>
    <w:rsid w:val="0066540D"/>
    <w:rsid w:val="006E1E66"/>
    <w:rsid w:val="007233E3"/>
    <w:rsid w:val="007A3612"/>
    <w:rsid w:val="007F5A66"/>
    <w:rsid w:val="007F61CE"/>
    <w:rsid w:val="007F7EB4"/>
    <w:rsid w:val="00824F57"/>
    <w:rsid w:val="00845269"/>
    <w:rsid w:val="00855DA6"/>
    <w:rsid w:val="008605DC"/>
    <w:rsid w:val="00861C50"/>
    <w:rsid w:val="008D69CA"/>
    <w:rsid w:val="00954E38"/>
    <w:rsid w:val="00980276"/>
    <w:rsid w:val="009A5D02"/>
    <w:rsid w:val="009A6C74"/>
    <w:rsid w:val="009B7FD2"/>
    <w:rsid w:val="009F0C20"/>
    <w:rsid w:val="00A01544"/>
    <w:rsid w:val="00A623F5"/>
    <w:rsid w:val="00B20D7E"/>
    <w:rsid w:val="00B554FD"/>
    <w:rsid w:val="00BF2EA8"/>
    <w:rsid w:val="00C5675A"/>
    <w:rsid w:val="00CE765D"/>
    <w:rsid w:val="00CF15BF"/>
    <w:rsid w:val="00D125C7"/>
    <w:rsid w:val="00D42B9A"/>
    <w:rsid w:val="00D73B97"/>
    <w:rsid w:val="00D94F41"/>
    <w:rsid w:val="00DC52E5"/>
    <w:rsid w:val="00E003AC"/>
    <w:rsid w:val="00E325F7"/>
    <w:rsid w:val="00E35D58"/>
    <w:rsid w:val="00E672EF"/>
    <w:rsid w:val="00E76FB7"/>
    <w:rsid w:val="00E84826"/>
    <w:rsid w:val="00ED0B22"/>
    <w:rsid w:val="00F1447F"/>
    <w:rsid w:val="00F34F3F"/>
    <w:rsid w:val="00F55A4F"/>
    <w:rsid w:val="00F96588"/>
    <w:rsid w:val="00FA6814"/>
    <w:rsid w:val="00FC2522"/>
    <w:rsid w:val="00FC3495"/>
    <w:rsid w:val="00FC7938"/>
    <w:rsid w:val="00FD2F2D"/>
    <w:rsid w:val="01D95126"/>
    <w:rsid w:val="04F15245"/>
    <w:rsid w:val="11356B11"/>
    <w:rsid w:val="18CE58F5"/>
    <w:rsid w:val="1AE360AE"/>
    <w:rsid w:val="24682DCB"/>
    <w:rsid w:val="314D787C"/>
    <w:rsid w:val="367C5D69"/>
    <w:rsid w:val="3CEA3486"/>
    <w:rsid w:val="403B7876"/>
    <w:rsid w:val="4E0254BA"/>
    <w:rsid w:val="51AF6EE6"/>
    <w:rsid w:val="6B7B6B34"/>
    <w:rsid w:val="70715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0" w:firstLineChars="0"/>
      <w:jc w:val="both"/>
    </w:pPr>
    <w:rPr>
      <w:rFonts w:ascii="Calibri" w:hAnsi="Calibri" w:eastAsia="宋体" w:cs="Times New Roman"/>
      <w:kern w:val="2"/>
      <w:sz w:val="21"/>
      <w:szCs w:val="24"/>
      <w:lang w:val="en-US" w:eastAsia="zh-CN" w:bidi="ar-SA"/>
    </w:rPr>
  </w:style>
  <w:style w:type="paragraph" w:styleId="5">
    <w:name w:val="heading 1"/>
    <w:basedOn w:val="1"/>
    <w:next w:val="1"/>
    <w:link w:val="14"/>
    <w:qFormat/>
    <w:uiPriority w:val="0"/>
    <w:pPr>
      <w:keepNext/>
      <w:keepLines/>
      <w:spacing w:before="340" w:after="330" w:line="576" w:lineRule="auto"/>
      <w:outlineLvl w:val="0"/>
    </w:pPr>
    <w:rPr>
      <w:rFonts w:eastAsia="黑体"/>
      <w:b/>
      <w:bCs/>
      <w:kern w:val="44"/>
      <w:sz w:val="32"/>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425"/>
      </w:tabs>
      <w:spacing w:after="0"/>
      <w:ind w:firstLine="200" w:firstLineChars="200"/>
    </w:pPr>
  </w:style>
  <w:style w:type="paragraph" w:styleId="3">
    <w:name w:val="Body Text"/>
    <w:basedOn w:val="1"/>
    <w:next w:val="4"/>
    <w:link w:val="21"/>
    <w:qFormat/>
    <w:uiPriority w:val="0"/>
    <w:rPr>
      <w:rFonts w:asciiTheme="minorHAnsi" w:hAnsiTheme="minorHAnsi" w:eastAsiaTheme="minorEastAsia" w:cstheme="minorBidi"/>
      <w:color w:val="FF0000"/>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Body Text Indent"/>
    <w:basedOn w:val="1"/>
    <w:link w:val="23"/>
    <w:qFormat/>
    <w:uiPriority w:val="0"/>
    <w:pPr>
      <w:ind w:left="-4" w:leftChars="-2" w:firstLine="560" w:firstLineChars="200"/>
    </w:pPr>
    <w:rPr>
      <w:rFonts w:ascii="宋体" w:hAnsiTheme="minorHAnsi" w:eastAsiaTheme="minorEastAsia" w:cstheme="minorBidi"/>
      <w:sz w:val="28"/>
    </w:rPr>
  </w:style>
  <w:style w:type="paragraph" w:styleId="7">
    <w:name w:val="Body Text Indent 2"/>
    <w:basedOn w:val="1"/>
    <w:link w:val="22"/>
    <w:qFormat/>
    <w:uiPriority w:val="0"/>
    <w:pPr>
      <w:tabs>
        <w:tab w:val="left" w:pos="1140"/>
      </w:tabs>
      <w:ind w:firstLine="560" w:firstLineChars="200"/>
    </w:pPr>
    <w:rPr>
      <w:rFonts w:ascii="Arial" w:hAnsi="Arial" w:eastAsiaTheme="minorEastAsia" w:cstheme="minorBidi"/>
      <w:color w:val="000000"/>
      <w:sz w:val="2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szCs w:val="24"/>
    </w:rPr>
  </w:style>
  <w:style w:type="character" w:styleId="13">
    <w:name w:val="Strong"/>
    <w:qFormat/>
    <w:uiPriority w:val="0"/>
    <w:rPr>
      <w:b/>
      <w:bCs/>
    </w:rPr>
  </w:style>
  <w:style w:type="character" w:customStyle="1" w:styleId="14">
    <w:name w:val="标题 1 Char"/>
    <w:basedOn w:val="12"/>
    <w:link w:val="5"/>
    <w:qFormat/>
    <w:uiPriority w:val="0"/>
    <w:rPr>
      <w:rFonts w:ascii="Calibri" w:hAnsi="Calibri" w:eastAsia="黑体" w:cs="Times New Roman"/>
      <w:b/>
      <w:bCs/>
      <w:kern w:val="44"/>
      <w:sz w:val="32"/>
      <w:szCs w:val="44"/>
    </w:rPr>
  </w:style>
  <w:style w:type="character" w:customStyle="1" w:styleId="15">
    <w:name w:val="页眉 Char"/>
    <w:basedOn w:val="12"/>
    <w:link w:val="9"/>
    <w:qFormat/>
    <w:uiPriority w:val="99"/>
    <w:rPr>
      <w:rFonts w:ascii="Calibri" w:hAnsi="Calibri" w:eastAsia="宋体" w:cs="Times New Roman"/>
      <w:sz w:val="18"/>
      <w:szCs w:val="18"/>
    </w:rPr>
  </w:style>
  <w:style w:type="character" w:customStyle="1" w:styleId="16">
    <w:name w:val="页脚 Char"/>
    <w:basedOn w:val="12"/>
    <w:link w:val="8"/>
    <w:qFormat/>
    <w:uiPriority w:val="99"/>
    <w:rPr>
      <w:rFonts w:ascii="Calibri" w:hAnsi="Calibri"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正文文本缩进 Char"/>
    <w:link w:val="6"/>
    <w:qFormat/>
    <w:uiPriority w:val="0"/>
    <w:rPr>
      <w:rFonts w:ascii="宋体"/>
      <w:sz w:val="28"/>
      <w:szCs w:val="24"/>
    </w:rPr>
  </w:style>
  <w:style w:type="character" w:customStyle="1" w:styleId="19">
    <w:name w:val="正文文本 Char"/>
    <w:link w:val="3"/>
    <w:qFormat/>
    <w:uiPriority w:val="0"/>
    <w:rPr>
      <w:color w:val="FF0000"/>
      <w:szCs w:val="24"/>
    </w:rPr>
  </w:style>
  <w:style w:type="character" w:customStyle="1" w:styleId="20">
    <w:name w:val="正文文本缩进 2 Char"/>
    <w:link w:val="7"/>
    <w:qFormat/>
    <w:uiPriority w:val="0"/>
    <w:rPr>
      <w:rFonts w:ascii="Arial" w:hAnsi="Arial"/>
      <w:color w:val="000000"/>
      <w:sz w:val="28"/>
      <w:szCs w:val="24"/>
    </w:rPr>
  </w:style>
  <w:style w:type="character" w:customStyle="1" w:styleId="21">
    <w:name w:val="正文文本 Char1"/>
    <w:basedOn w:val="12"/>
    <w:link w:val="3"/>
    <w:semiHidden/>
    <w:qFormat/>
    <w:uiPriority w:val="99"/>
    <w:rPr>
      <w:rFonts w:ascii="Calibri" w:hAnsi="Calibri" w:eastAsia="宋体" w:cs="Times New Roman"/>
      <w:szCs w:val="24"/>
    </w:rPr>
  </w:style>
  <w:style w:type="character" w:customStyle="1" w:styleId="22">
    <w:name w:val="正文文本缩进 2 Char1"/>
    <w:basedOn w:val="12"/>
    <w:link w:val="7"/>
    <w:semiHidden/>
    <w:qFormat/>
    <w:uiPriority w:val="99"/>
    <w:rPr>
      <w:rFonts w:ascii="Calibri" w:hAnsi="Calibri" w:eastAsia="宋体" w:cs="Times New Roman"/>
      <w:szCs w:val="24"/>
    </w:rPr>
  </w:style>
  <w:style w:type="character" w:customStyle="1" w:styleId="23">
    <w:name w:val="正文文本缩进 Char1"/>
    <w:basedOn w:val="12"/>
    <w:link w:val="6"/>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78B3C-A6CF-4BB5-B507-8AFA12EEA5D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1232</Words>
  <Characters>1372</Characters>
  <Lines>48</Lines>
  <Paragraphs>13</Paragraphs>
  <TotalTime>9</TotalTime>
  <ScaleCrop>false</ScaleCrop>
  <LinksUpToDate>false</LinksUpToDate>
  <CharactersWithSpaces>1384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2023-03-31T00:31:00Z</dcterms:created>
  <dc:creator>qzyadm</dc:creator>
  <cp:lastModifiedBy>Administrator</cp:lastModifiedBy>
  <cp:lastPrinted>2025-05-13T08:12:24Z</cp:lastPrinted>
  <dcterms:modified xsi:type="dcterms:W3CDTF">2025-05-13T08:14:27Z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eyJoZGlkIjoiNjM1ZWEwZGI2MzQ0YWZlOWUzNzQ2NWRjNjdlMGY3NGEifQ==</vt:lpwstr>
  </property>
  <property fmtid="{D5CDD505-2E9C-101B-9397-08002B2CF9AE}" pid="3" name="KSOProductBuildVer">
    <vt:lpwstr>2052-12.1.0.20784</vt:lpwstr>
  </property>
  <property fmtid="{D5CDD505-2E9C-101B-9397-08002B2CF9AE}" pid="4" name="ICV">
    <vt:lpwstr>BA883D7CB18C42C3979B20DC9448ED3D_12</vt:lpwstr>
  </property>
</Properties>
</file>